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AFD0" w14:textId="2399FD3F" w:rsidR="00A95C12" w:rsidRPr="005065E8" w:rsidRDefault="00D52573" w:rsidP="00684D4B">
      <w:pPr>
        <w:spacing w:after="0" w:line="240" w:lineRule="auto"/>
        <w:jc w:val="both"/>
        <w:rPr>
          <w:rFonts w:ascii="Arial" w:eastAsia="Arial" w:hAnsi="Arial" w:cs="Arial"/>
          <w:b/>
          <w:bCs/>
          <w:color w:val="313D4F"/>
          <w:sz w:val="20"/>
          <w:szCs w:val="20"/>
        </w:rPr>
      </w:pPr>
      <w:r>
        <w:rPr>
          <w:rFonts w:ascii="Arial" w:eastAsia="Arial" w:hAnsi="Arial" w:cs="Arial"/>
          <w:b/>
          <w:bCs/>
          <w:color w:val="313D4F"/>
          <w:sz w:val="20"/>
          <w:szCs w:val="20"/>
        </w:rPr>
        <w:t>Schedule</w:t>
      </w:r>
      <w:r w:rsidR="00A00934" w:rsidRPr="005065E8">
        <w:rPr>
          <w:rFonts w:ascii="Arial" w:eastAsia="Arial" w:hAnsi="Arial" w:cs="Arial"/>
          <w:b/>
          <w:bCs/>
          <w:color w:val="313D4F"/>
          <w:sz w:val="20"/>
          <w:szCs w:val="20"/>
        </w:rPr>
        <w:t xml:space="preserve"> 3</w:t>
      </w:r>
      <w:r w:rsidR="00DA4708" w:rsidRPr="005065E8">
        <w:rPr>
          <w:rFonts w:ascii="Arial" w:eastAsia="Arial" w:hAnsi="Arial" w:cs="Arial"/>
          <w:b/>
          <w:bCs/>
          <w:color w:val="313D4F"/>
          <w:sz w:val="20"/>
          <w:szCs w:val="20"/>
        </w:rPr>
        <w:t xml:space="preserve"> –  </w:t>
      </w:r>
      <w:r w:rsidR="001056AF" w:rsidRPr="00AA7EF8">
        <w:rPr>
          <w:rFonts w:ascii="Arial" w:eastAsia="Arial" w:hAnsi="Arial" w:cs="Arial"/>
          <w:b/>
          <w:bCs/>
          <w:color w:val="313D4F"/>
          <w:sz w:val="20"/>
          <w:szCs w:val="20"/>
          <w:lang w:val="en-GB"/>
        </w:rPr>
        <w:t xml:space="preserve">Short </w:t>
      </w:r>
      <w:r w:rsidR="001056AF" w:rsidRPr="00DF73B5">
        <w:rPr>
          <w:rFonts w:ascii="Arial" w:eastAsia="Arial" w:hAnsi="Arial" w:cs="Arial"/>
          <w:b/>
          <w:bCs/>
          <w:color w:val="313D4F"/>
          <w:sz w:val="20"/>
          <w:szCs w:val="20"/>
          <w:lang w:val="en-GB"/>
        </w:rPr>
        <w:t>instructions to loan applicants for the preparation of project/technical documentation for the criteria of DNSH and infrastructure resilience to climate change</w:t>
      </w:r>
    </w:p>
    <w:p w14:paraId="7FE1C5E7" w14:textId="77777777" w:rsidR="00684D4B" w:rsidRPr="00684D4B" w:rsidRDefault="00684D4B" w:rsidP="00684D4B">
      <w:pPr>
        <w:spacing w:after="0" w:line="240" w:lineRule="auto"/>
        <w:jc w:val="both"/>
        <w:rPr>
          <w:rFonts w:ascii="Arial" w:eastAsia="Calibri" w:hAnsi="Arial" w:cs="Arial"/>
          <w:b/>
          <w:caps/>
          <w:sz w:val="20"/>
          <w:szCs w:val="20"/>
        </w:rPr>
      </w:pPr>
    </w:p>
    <w:p w14:paraId="7A3E7D50" w14:textId="79C9020A" w:rsidR="005607B3" w:rsidRPr="006747C6" w:rsidRDefault="00BA10F4" w:rsidP="00DF3C1A">
      <w:pPr>
        <w:spacing w:line="276" w:lineRule="auto"/>
        <w:jc w:val="both"/>
        <w:rPr>
          <w:rFonts w:ascii="Arial" w:hAnsi="Arial" w:cs="Arial"/>
          <w:sz w:val="20"/>
          <w:szCs w:val="20"/>
          <w:lang w:val="en-GB"/>
        </w:rPr>
      </w:pPr>
      <w:r w:rsidRPr="006747C6">
        <w:rPr>
          <w:rFonts w:ascii="Arial" w:hAnsi="Arial" w:cs="Arial"/>
          <w:sz w:val="20"/>
          <w:szCs w:val="20"/>
          <w:lang w:val="en-GB"/>
        </w:rPr>
        <w:t xml:space="preserve">Based on the criteria of the Sustainable Tourism Loans </w:t>
      </w:r>
      <w:r w:rsidR="00393311" w:rsidRPr="006747C6">
        <w:rPr>
          <w:rFonts w:ascii="Arial" w:hAnsi="Arial" w:cs="Arial"/>
          <w:sz w:val="20"/>
          <w:szCs w:val="20"/>
          <w:lang w:val="en-GB"/>
        </w:rPr>
        <w:t>F</w:t>
      </w:r>
      <w:r w:rsidR="005607B3" w:rsidRPr="006747C6">
        <w:rPr>
          <w:rFonts w:ascii="Arial" w:hAnsi="Arial" w:cs="Arial"/>
          <w:sz w:val="20"/>
          <w:szCs w:val="20"/>
          <w:lang w:val="en-GB"/>
        </w:rPr>
        <w:t>inanci</w:t>
      </w:r>
      <w:r w:rsidRPr="006747C6">
        <w:rPr>
          <w:rFonts w:ascii="Arial" w:hAnsi="Arial" w:cs="Arial"/>
          <w:sz w:val="20"/>
          <w:szCs w:val="20"/>
          <w:lang w:val="en-GB"/>
        </w:rPr>
        <w:t xml:space="preserve">al Instrument </w:t>
      </w:r>
      <w:r w:rsidR="00393311" w:rsidRPr="006747C6">
        <w:rPr>
          <w:rFonts w:ascii="Arial" w:hAnsi="Arial" w:cs="Arial"/>
          <w:sz w:val="20"/>
          <w:szCs w:val="20"/>
          <w:lang w:val="en-GB"/>
        </w:rPr>
        <w:t>(</w:t>
      </w:r>
      <w:r w:rsidRPr="006747C6">
        <w:rPr>
          <w:rFonts w:ascii="Arial" w:hAnsi="Arial" w:cs="Arial"/>
          <w:sz w:val="20"/>
          <w:szCs w:val="20"/>
          <w:lang w:val="en-GB"/>
        </w:rPr>
        <w:t>hereinafter</w:t>
      </w:r>
      <w:r w:rsidR="00393311" w:rsidRPr="006747C6">
        <w:rPr>
          <w:rFonts w:ascii="Arial" w:hAnsi="Arial" w:cs="Arial"/>
          <w:sz w:val="20"/>
          <w:szCs w:val="20"/>
          <w:lang w:val="en-GB"/>
        </w:rPr>
        <w:t xml:space="preserve">: </w:t>
      </w:r>
      <w:r w:rsidR="00F51B12" w:rsidRPr="006747C6">
        <w:rPr>
          <w:rFonts w:ascii="Arial" w:hAnsi="Arial" w:cs="Arial"/>
          <w:sz w:val="20"/>
          <w:szCs w:val="20"/>
          <w:lang w:val="en-GB"/>
        </w:rPr>
        <w:t>FI</w:t>
      </w:r>
      <w:r w:rsidR="00393311" w:rsidRPr="006747C6">
        <w:rPr>
          <w:rFonts w:ascii="Arial" w:hAnsi="Arial" w:cs="Arial"/>
          <w:sz w:val="20"/>
          <w:szCs w:val="20"/>
          <w:lang w:val="en-GB"/>
        </w:rPr>
        <w:t>)</w:t>
      </w:r>
      <w:r w:rsidR="005607B3" w:rsidRPr="006747C6">
        <w:rPr>
          <w:rFonts w:ascii="Arial" w:hAnsi="Arial" w:cs="Arial"/>
          <w:sz w:val="20"/>
          <w:szCs w:val="20"/>
          <w:lang w:val="en-GB"/>
        </w:rPr>
        <w:t xml:space="preserve">, </w:t>
      </w:r>
      <w:r w:rsidR="009A30CE" w:rsidRPr="006747C6">
        <w:rPr>
          <w:rFonts w:ascii="Arial" w:hAnsi="Arial" w:cs="Arial"/>
          <w:sz w:val="20"/>
          <w:szCs w:val="20"/>
          <w:lang w:val="en-GB"/>
        </w:rPr>
        <w:t>a final beneficiary's project</w:t>
      </w:r>
      <w:r w:rsidR="005F579F" w:rsidRPr="006747C6">
        <w:rPr>
          <w:rFonts w:ascii="Arial" w:hAnsi="Arial" w:cs="Arial"/>
          <w:sz w:val="20"/>
          <w:szCs w:val="20"/>
          <w:lang w:val="en-GB"/>
        </w:rPr>
        <w:t>/</w:t>
      </w:r>
      <w:r w:rsidR="00074580" w:rsidRPr="006747C6">
        <w:rPr>
          <w:rFonts w:ascii="Arial" w:hAnsi="Arial" w:cs="Arial"/>
          <w:sz w:val="20"/>
          <w:szCs w:val="20"/>
          <w:lang w:val="en-GB"/>
        </w:rPr>
        <w:t>invest</w:t>
      </w:r>
      <w:r w:rsidR="009A30CE" w:rsidRPr="006747C6">
        <w:rPr>
          <w:rFonts w:ascii="Arial" w:hAnsi="Arial" w:cs="Arial"/>
          <w:sz w:val="20"/>
          <w:szCs w:val="20"/>
          <w:lang w:val="en-GB"/>
        </w:rPr>
        <w:t>ment</w:t>
      </w:r>
      <w:r w:rsidR="00B87275" w:rsidRPr="006747C6">
        <w:rPr>
          <w:rFonts w:ascii="Arial" w:hAnsi="Arial" w:cs="Arial"/>
          <w:sz w:val="20"/>
          <w:szCs w:val="20"/>
          <w:lang w:val="en-GB"/>
        </w:rPr>
        <w:t xml:space="preserve"> </w:t>
      </w:r>
      <w:r w:rsidR="005E3C61" w:rsidRPr="006747C6">
        <w:rPr>
          <w:rFonts w:ascii="Arial" w:hAnsi="Arial" w:cs="Arial"/>
          <w:b/>
          <w:bCs/>
          <w:sz w:val="20"/>
          <w:szCs w:val="20"/>
          <w:lang w:val="en-GB"/>
        </w:rPr>
        <w:t>is not eligible</w:t>
      </w:r>
      <w:r w:rsidR="002737B8" w:rsidRPr="006747C6">
        <w:rPr>
          <w:rFonts w:ascii="Arial" w:hAnsi="Arial" w:cs="Arial"/>
          <w:sz w:val="20"/>
          <w:szCs w:val="20"/>
          <w:lang w:val="en-GB"/>
        </w:rPr>
        <w:t xml:space="preserve"> </w:t>
      </w:r>
      <w:r w:rsidR="005E3C61" w:rsidRPr="006747C6">
        <w:rPr>
          <w:rFonts w:ascii="Arial" w:hAnsi="Arial" w:cs="Arial"/>
          <w:sz w:val="20"/>
          <w:szCs w:val="20"/>
          <w:lang w:val="en-GB"/>
        </w:rPr>
        <w:t>if</w:t>
      </w:r>
      <w:r w:rsidR="005607B3" w:rsidRPr="006747C6">
        <w:rPr>
          <w:rFonts w:ascii="Arial" w:hAnsi="Arial" w:cs="Arial"/>
          <w:sz w:val="20"/>
          <w:szCs w:val="20"/>
          <w:lang w:val="en-GB"/>
        </w:rPr>
        <w:t>:</w:t>
      </w:r>
    </w:p>
    <w:p w14:paraId="0C07AEDD" w14:textId="6A721721" w:rsidR="00074580" w:rsidRPr="006747C6" w:rsidRDefault="005E3C61" w:rsidP="00DF3C1A">
      <w:pPr>
        <w:pStyle w:val="Odlomakpopisa"/>
        <w:numPr>
          <w:ilvl w:val="0"/>
          <w:numId w:val="8"/>
        </w:numPr>
        <w:spacing w:after="240" w:line="276" w:lineRule="auto"/>
        <w:jc w:val="both"/>
        <w:rPr>
          <w:rFonts w:ascii="Arial" w:hAnsi="Arial" w:cs="Arial"/>
          <w:b/>
          <w:bCs/>
          <w:sz w:val="20"/>
          <w:szCs w:val="20"/>
          <w:lang w:val="en-GB"/>
        </w:rPr>
      </w:pPr>
      <w:r w:rsidRPr="006747C6">
        <w:rPr>
          <w:rFonts w:ascii="Arial" w:hAnsi="Arial" w:cs="Arial"/>
          <w:b/>
          <w:bCs/>
          <w:sz w:val="20"/>
          <w:szCs w:val="20"/>
          <w:lang w:val="en-GB"/>
        </w:rPr>
        <w:t xml:space="preserve">It does not comply with the </w:t>
      </w:r>
      <w:r w:rsidR="00C92BCB" w:rsidRPr="006747C6">
        <w:rPr>
          <w:rFonts w:ascii="Arial" w:hAnsi="Arial" w:cs="Arial"/>
          <w:b/>
          <w:bCs/>
          <w:sz w:val="20"/>
          <w:szCs w:val="20"/>
          <w:lang w:val="en-GB"/>
        </w:rPr>
        <w:t xml:space="preserve">“Do No Significant Harm” (DNSH) principle  </w:t>
      </w:r>
    </w:p>
    <w:p w14:paraId="1DCC1A32" w14:textId="5DA3A1CA" w:rsidR="00074580" w:rsidRPr="006747C6" w:rsidRDefault="00C92BCB" w:rsidP="00DF3C1A">
      <w:pPr>
        <w:pStyle w:val="Odlomakpopisa"/>
        <w:numPr>
          <w:ilvl w:val="0"/>
          <w:numId w:val="8"/>
        </w:numPr>
        <w:spacing w:after="240" w:line="276" w:lineRule="auto"/>
        <w:jc w:val="both"/>
        <w:rPr>
          <w:rFonts w:ascii="Arial" w:hAnsi="Arial" w:cs="Arial"/>
          <w:b/>
          <w:bCs/>
          <w:sz w:val="20"/>
          <w:szCs w:val="20"/>
          <w:lang w:val="en-GB"/>
        </w:rPr>
      </w:pPr>
      <w:r w:rsidRPr="006747C6">
        <w:rPr>
          <w:rFonts w:ascii="Arial" w:hAnsi="Arial" w:cs="Arial"/>
          <w:b/>
          <w:bCs/>
          <w:sz w:val="20"/>
          <w:szCs w:val="20"/>
          <w:lang w:val="en-GB"/>
        </w:rPr>
        <w:t>It does not comply with the</w:t>
      </w:r>
      <w:r w:rsidR="00074580" w:rsidRPr="006747C6">
        <w:rPr>
          <w:rFonts w:ascii="Arial" w:hAnsi="Arial" w:cs="Arial"/>
          <w:b/>
          <w:bCs/>
          <w:sz w:val="20"/>
          <w:szCs w:val="20"/>
          <w:lang w:val="en-GB"/>
        </w:rPr>
        <w:t xml:space="preserve"> „Te</w:t>
      </w:r>
      <w:r w:rsidRPr="006747C6">
        <w:rPr>
          <w:rFonts w:ascii="Arial" w:hAnsi="Arial" w:cs="Arial"/>
          <w:b/>
          <w:bCs/>
          <w:sz w:val="20"/>
          <w:szCs w:val="20"/>
          <w:lang w:val="en-GB"/>
        </w:rPr>
        <w:t>chnical Guidelines on the Preparation</w:t>
      </w:r>
      <w:r w:rsidR="00074580" w:rsidRPr="006747C6">
        <w:rPr>
          <w:rFonts w:ascii="Arial" w:hAnsi="Arial" w:cs="Arial"/>
          <w:b/>
          <w:bCs/>
          <w:sz w:val="20"/>
          <w:szCs w:val="20"/>
          <w:lang w:val="en-GB"/>
        </w:rPr>
        <w:t xml:space="preserve"> </w:t>
      </w:r>
      <w:r w:rsidR="000435DD" w:rsidRPr="006747C6">
        <w:rPr>
          <w:rFonts w:ascii="Arial" w:hAnsi="Arial" w:cs="Arial"/>
          <w:b/>
          <w:bCs/>
          <w:sz w:val="20"/>
          <w:szCs w:val="20"/>
          <w:lang w:val="en-GB"/>
        </w:rPr>
        <w:t xml:space="preserve">of Infrastructure </w:t>
      </w:r>
      <w:r w:rsidR="00074580" w:rsidRPr="006747C6">
        <w:rPr>
          <w:rFonts w:ascii="Arial" w:hAnsi="Arial" w:cs="Arial"/>
          <w:b/>
          <w:bCs/>
          <w:sz w:val="20"/>
          <w:szCs w:val="20"/>
          <w:lang w:val="en-GB"/>
        </w:rPr>
        <w:t xml:space="preserve"> </w:t>
      </w:r>
      <w:r w:rsidR="00CF41A4" w:rsidRPr="006747C6">
        <w:rPr>
          <w:rFonts w:ascii="Arial" w:hAnsi="Arial" w:cs="Arial"/>
          <w:b/>
          <w:bCs/>
          <w:sz w:val="20"/>
          <w:szCs w:val="20"/>
          <w:lang w:val="en-GB"/>
        </w:rPr>
        <w:t>for Climate Changes in the 2021–2027 Period” (2021/C 373/01</w:t>
      </w:r>
      <w:r w:rsidR="00074580" w:rsidRPr="006747C6">
        <w:rPr>
          <w:rFonts w:ascii="Arial" w:hAnsi="Arial" w:cs="Arial"/>
          <w:b/>
          <w:bCs/>
          <w:sz w:val="20"/>
          <w:szCs w:val="20"/>
          <w:lang w:val="en-GB"/>
        </w:rPr>
        <w:t>)</w:t>
      </w:r>
    </w:p>
    <w:p w14:paraId="39CCDBA0" w14:textId="238455B6" w:rsidR="00CC434B" w:rsidRPr="006747C6" w:rsidRDefault="009D48A6" w:rsidP="00684D4B">
      <w:pPr>
        <w:spacing w:after="240" w:line="276" w:lineRule="auto"/>
        <w:jc w:val="both"/>
        <w:rPr>
          <w:rFonts w:ascii="Arial" w:hAnsi="Arial" w:cs="Arial"/>
          <w:sz w:val="20"/>
          <w:szCs w:val="20"/>
          <w:lang w:val="en-GB"/>
        </w:rPr>
      </w:pPr>
      <w:r w:rsidRPr="006747C6">
        <w:rPr>
          <w:lang w:val="en-GB"/>
        </w:rPr>
        <w:t>P</w:t>
      </w:r>
      <w:r w:rsidRPr="006747C6">
        <w:rPr>
          <w:rFonts w:ascii="Arial" w:hAnsi="Arial" w:cs="Arial"/>
          <w:sz w:val="20"/>
          <w:szCs w:val="20"/>
          <w:lang w:val="en-GB"/>
        </w:rPr>
        <w:t>roject/investment of final beneficiary under the FI implies all investments</w:t>
      </w:r>
      <w:r w:rsidR="006D0A6F" w:rsidRPr="006747C6">
        <w:rPr>
          <w:rFonts w:ascii="Arial" w:hAnsi="Arial" w:cs="Arial"/>
          <w:sz w:val="20"/>
          <w:szCs w:val="20"/>
          <w:lang w:val="en-GB"/>
        </w:rPr>
        <w:t xml:space="preserve"> </w:t>
      </w:r>
      <w:r w:rsidRPr="006747C6">
        <w:rPr>
          <w:rFonts w:ascii="Arial" w:hAnsi="Arial" w:cs="Arial"/>
          <w:sz w:val="20"/>
          <w:szCs w:val="20"/>
          <w:lang w:val="en-GB"/>
        </w:rPr>
        <w:t xml:space="preserve">in hospitality </w:t>
      </w:r>
      <w:r w:rsidR="00815E75" w:rsidRPr="006747C6">
        <w:rPr>
          <w:rFonts w:ascii="Arial" w:hAnsi="Arial" w:cs="Arial"/>
          <w:sz w:val="20"/>
          <w:szCs w:val="20"/>
          <w:lang w:val="en-GB"/>
        </w:rPr>
        <w:t>establishments</w:t>
      </w:r>
      <w:r w:rsidR="00170F8B" w:rsidRPr="006747C6">
        <w:rPr>
          <w:rFonts w:ascii="Arial" w:hAnsi="Arial" w:cs="Arial"/>
          <w:sz w:val="20"/>
          <w:szCs w:val="20"/>
          <w:lang w:val="en-GB"/>
        </w:rPr>
        <w:t xml:space="preserve"> </w:t>
      </w:r>
      <w:r w:rsidR="00815E75" w:rsidRPr="006747C6">
        <w:rPr>
          <w:rFonts w:ascii="Arial" w:hAnsi="Arial" w:cs="Arial"/>
          <w:sz w:val="20"/>
          <w:szCs w:val="20"/>
          <w:lang w:val="en-GB"/>
        </w:rPr>
        <w:t>for accommodation from the</w:t>
      </w:r>
      <w:r w:rsidR="00170F8B" w:rsidRPr="006747C6">
        <w:rPr>
          <w:rFonts w:ascii="Arial" w:hAnsi="Arial" w:cs="Arial"/>
          <w:sz w:val="20"/>
          <w:szCs w:val="20"/>
          <w:lang w:val="en-GB"/>
        </w:rPr>
        <w:t xml:space="preserve"> </w:t>
      </w:r>
      <w:r w:rsidR="005F0767">
        <w:rPr>
          <w:rFonts w:ascii="Arial" w:hAnsi="Arial" w:cs="Arial"/>
          <w:sz w:val="20"/>
          <w:szCs w:val="20"/>
          <w:lang w:val="en-GB"/>
        </w:rPr>
        <w:t>“</w:t>
      </w:r>
      <w:r w:rsidR="00170F8B" w:rsidRPr="006747C6">
        <w:rPr>
          <w:rFonts w:ascii="Arial" w:hAnsi="Arial" w:cs="Arial"/>
          <w:sz w:val="20"/>
          <w:szCs w:val="20"/>
          <w:lang w:val="en-GB"/>
        </w:rPr>
        <w:t>Hotel</w:t>
      </w:r>
      <w:r w:rsidR="00815E75" w:rsidRPr="006747C6">
        <w:rPr>
          <w:rFonts w:ascii="Arial" w:hAnsi="Arial" w:cs="Arial"/>
          <w:sz w:val="20"/>
          <w:szCs w:val="20"/>
          <w:lang w:val="en-GB"/>
        </w:rPr>
        <w:t>s</w:t>
      </w:r>
      <w:r w:rsidR="00170F8B" w:rsidRPr="006747C6">
        <w:rPr>
          <w:rFonts w:ascii="Arial" w:hAnsi="Arial" w:cs="Arial"/>
          <w:sz w:val="20"/>
          <w:szCs w:val="20"/>
          <w:lang w:val="en-GB"/>
        </w:rPr>
        <w:t xml:space="preserve">“ </w:t>
      </w:r>
      <w:r w:rsidR="00815E75" w:rsidRPr="006747C6">
        <w:rPr>
          <w:rFonts w:ascii="Arial" w:hAnsi="Arial" w:cs="Arial"/>
          <w:sz w:val="20"/>
          <w:szCs w:val="20"/>
          <w:lang w:val="en-GB"/>
        </w:rPr>
        <w:t>and the</w:t>
      </w:r>
      <w:r w:rsidR="00170F8B" w:rsidRPr="006747C6">
        <w:rPr>
          <w:rFonts w:ascii="Arial" w:hAnsi="Arial" w:cs="Arial"/>
          <w:sz w:val="20"/>
          <w:szCs w:val="20"/>
          <w:lang w:val="en-GB"/>
        </w:rPr>
        <w:t xml:space="preserve"> </w:t>
      </w:r>
      <w:r w:rsidR="005F0767">
        <w:rPr>
          <w:rFonts w:ascii="Arial" w:hAnsi="Arial" w:cs="Arial"/>
          <w:sz w:val="20"/>
          <w:szCs w:val="20"/>
          <w:lang w:val="en-GB"/>
        </w:rPr>
        <w:t>“</w:t>
      </w:r>
      <w:r w:rsidR="00815E75" w:rsidRPr="006747C6">
        <w:rPr>
          <w:rFonts w:ascii="Arial" w:hAnsi="Arial" w:cs="Arial"/>
          <w:sz w:val="20"/>
          <w:szCs w:val="20"/>
          <w:lang w:val="en-GB"/>
        </w:rPr>
        <w:t>Camping sites</w:t>
      </w:r>
      <w:r w:rsidR="00170F8B" w:rsidRPr="006747C6">
        <w:rPr>
          <w:rFonts w:ascii="Arial" w:hAnsi="Arial" w:cs="Arial"/>
          <w:sz w:val="20"/>
          <w:szCs w:val="20"/>
          <w:lang w:val="en-GB"/>
        </w:rPr>
        <w:t xml:space="preserve">“ </w:t>
      </w:r>
      <w:r w:rsidR="00815E75" w:rsidRPr="006747C6">
        <w:rPr>
          <w:rFonts w:ascii="Arial" w:hAnsi="Arial" w:cs="Arial"/>
          <w:sz w:val="20"/>
          <w:szCs w:val="20"/>
          <w:lang w:val="en-GB"/>
        </w:rPr>
        <w:t>groups, including addit</w:t>
      </w:r>
      <w:r w:rsidR="005125B9" w:rsidRPr="006747C6">
        <w:rPr>
          <w:rFonts w:ascii="Arial" w:hAnsi="Arial" w:cs="Arial"/>
          <w:sz w:val="20"/>
          <w:szCs w:val="20"/>
          <w:lang w:val="en-GB"/>
        </w:rPr>
        <w:t>ional</w:t>
      </w:r>
      <w:r w:rsidR="00170F8B" w:rsidRPr="006747C6">
        <w:rPr>
          <w:rFonts w:ascii="Arial" w:hAnsi="Arial" w:cs="Arial"/>
          <w:sz w:val="20"/>
          <w:szCs w:val="20"/>
          <w:lang w:val="en-GB"/>
        </w:rPr>
        <w:t>/</w:t>
      </w:r>
      <w:r w:rsidR="005125B9" w:rsidRPr="006747C6">
        <w:rPr>
          <w:rFonts w:ascii="Arial" w:hAnsi="Arial" w:cs="Arial"/>
          <w:sz w:val="20"/>
          <w:szCs w:val="20"/>
          <w:lang w:val="en-GB"/>
        </w:rPr>
        <w:t>optional</w:t>
      </w:r>
      <w:r w:rsidR="00170F8B" w:rsidRPr="006747C6">
        <w:rPr>
          <w:rFonts w:ascii="Arial" w:hAnsi="Arial" w:cs="Arial"/>
          <w:sz w:val="20"/>
          <w:szCs w:val="20"/>
          <w:lang w:val="en-GB"/>
        </w:rPr>
        <w:t xml:space="preserve"> </w:t>
      </w:r>
      <w:r w:rsidR="00101DD8" w:rsidRPr="006747C6">
        <w:rPr>
          <w:rFonts w:ascii="Arial" w:hAnsi="Arial" w:cs="Arial"/>
          <w:sz w:val="20"/>
          <w:szCs w:val="20"/>
          <w:lang w:val="en-GB"/>
        </w:rPr>
        <w:t xml:space="preserve">facilities within </w:t>
      </w:r>
      <w:r w:rsidR="00153A8C" w:rsidRPr="006747C6">
        <w:rPr>
          <w:rFonts w:ascii="Arial" w:hAnsi="Arial" w:cs="Arial"/>
          <w:sz w:val="20"/>
          <w:szCs w:val="20"/>
          <w:lang w:val="en-GB"/>
        </w:rPr>
        <w:t>such groups</w:t>
      </w:r>
      <w:r w:rsidR="00F56CF1" w:rsidRPr="006747C6">
        <w:rPr>
          <w:rFonts w:ascii="Arial" w:hAnsi="Arial" w:cs="Arial"/>
          <w:sz w:val="20"/>
          <w:szCs w:val="20"/>
          <w:lang w:val="en-GB"/>
        </w:rPr>
        <w:t xml:space="preserve">. </w:t>
      </w:r>
      <w:r w:rsidR="00032B8A" w:rsidRPr="006747C6">
        <w:rPr>
          <w:rFonts w:ascii="Arial" w:hAnsi="Arial" w:cs="Arial"/>
          <w:sz w:val="20"/>
          <w:szCs w:val="20"/>
          <w:lang w:val="en-GB"/>
        </w:rPr>
        <w:t>An investment under this</w:t>
      </w:r>
      <w:r w:rsidR="00F56CF1" w:rsidRPr="006747C6">
        <w:rPr>
          <w:rFonts w:ascii="Arial" w:hAnsi="Arial" w:cs="Arial"/>
          <w:sz w:val="20"/>
          <w:szCs w:val="20"/>
          <w:lang w:val="en-GB"/>
        </w:rPr>
        <w:t xml:space="preserve"> FI </w:t>
      </w:r>
      <w:r w:rsidR="00032B8A" w:rsidRPr="006747C6">
        <w:rPr>
          <w:rFonts w:ascii="Arial" w:hAnsi="Arial" w:cs="Arial"/>
          <w:sz w:val="20"/>
          <w:szCs w:val="20"/>
          <w:lang w:val="en-GB"/>
        </w:rPr>
        <w:t>implies the construction of new</w:t>
      </w:r>
      <w:r w:rsidR="00170F8B" w:rsidRPr="006747C6">
        <w:rPr>
          <w:rFonts w:ascii="Arial" w:hAnsi="Arial" w:cs="Arial"/>
          <w:sz w:val="20"/>
          <w:szCs w:val="20"/>
          <w:lang w:val="en-GB"/>
        </w:rPr>
        <w:t xml:space="preserve"> </w:t>
      </w:r>
      <w:r w:rsidR="005F0767">
        <w:rPr>
          <w:rFonts w:ascii="Arial" w:hAnsi="Arial" w:cs="Arial"/>
          <w:sz w:val="20"/>
          <w:szCs w:val="20"/>
          <w:lang w:val="en-GB"/>
        </w:rPr>
        <w:t>“</w:t>
      </w:r>
      <w:r w:rsidR="00170F8B" w:rsidRPr="006747C6">
        <w:rPr>
          <w:rFonts w:ascii="Arial" w:hAnsi="Arial" w:cs="Arial"/>
          <w:sz w:val="20"/>
          <w:szCs w:val="20"/>
          <w:lang w:val="en-GB"/>
        </w:rPr>
        <w:t>Hotel</w:t>
      </w:r>
      <w:r w:rsidR="006747C6">
        <w:rPr>
          <w:rFonts w:ascii="Arial" w:hAnsi="Arial" w:cs="Arial"/>
          <w:sz w:val="20"/>
          <w:szCs w:val="20"/>
          <w:lang w:val="en-GB"/>
        </w:rPr>
        <w:t>s</w:t>
      </w:r>
      <w:r w:rsidR="00170F8B" w:rsidRPr="006747C6">
        <w:rPr>
          <w:rFonts w:ascii="Arial" w:hAnsi="Arial" w:cs="Arial"/>
          <w:sz w:val="20"/>
          <w:szCs w:val="20"/>
          <w:lang w:val="en-GB"/>
        </w:rPr>
        <w:t xml:space="preserve">“ </w:t>
      </w:r>
      <w:r w:rsidR="006747C6">
        <w:rPr>
          <w:rFonts w:ascii="Arial" w:hAnsi="Arial" w:cs="Arial"/>
          <w:sz w:val="20"/>
          <w:szCs w:val="20"/>
          <w:lang w:val="en-GB"/>
        </w:rPr>
        <w:t>and</w:t>
      </w:r>
      <w:r w:rsidR="00170F8B" w:rsidRPr="006747C6">
        <w:rPr>
          <w:rFonts w:ascii="Arial" w:hAnsi="Arial" w:cs="Arial"/>
          <w:sz w:val="20"/>
          <w:szCs w:val="20"/>
          <w:lang w:val="en-GB"/>
        </w:rPr>
        <w:t>/</w:t>
      </w:r>
      <w:r w:rsidR="006747C6">
        <w:rPr>
          <w:rFonts w:ascii="Arial" w:hAnsi="Arial" w:cs="Arial"/>
          <w:sz w:val="20"/>
          <w:szCs w:val="20"/>
          <w:lang w:val="en-GB"/>
        </w:rPr>
        <w:t>or</w:t>
      </w:r>
      <w:r w:rsidR="00170F8B" w:rsidRPr="006747C6">
        <w:rPr>
          <w:rFonts w:ascii="Arial" w:hAnsi="Arial" w:cs="Arial"/>
          <w:sz w:val="20"/>
          <w:szCs w:val="20"/>
          <w:lang w:val="en-GB"/>
        </w:rPr>
        <w:t xml:space="preserve"> </w:t>
      </w:r>
      <w:r w:rsidR="005F0767">
        <w:rPr>
          <w:rFonts w:ascii="Arial" w:hAnsi="Arial" w:cs="Arial"/>
          <w:sz w:val="20"/>
          <w:szCs w:val="20"/>
          <w:lang w:val="en-GB"/>
        </w:rPr>
        <w:t>“</w:t>
      </w:r>
      <w:r w:rsidR="00DD703C">
        <w:rPr>
          <w:rFonts w:ascii="Arial" w:hAnsi="Arial" w:cs="Arial"/>
          <w:sz w:val="20"/>
          <w:szCs w:val="20"/>
          <w:lang w:val="en-GB"/>
        </w:rPr>
        <w:t>Camping sites</w:t>
      </w:r>
      <w:r w:rsidR="00170F8B" w:rsidRPr="006747C6">
        <w:rPr>
          <w:rFonts w:ascii="Arial" w:hAnsi="Arial" w:cs="Arial"/>
          <w:sz w:val="20"/>
          <w:szCs w:val="20"/>
          <w:lang w:val="en-GB"/>
        </w:rPr>
        <w:t xml:space="preserve">“ </w:t>
      </w:r>
      <w:r w:rsidR="00D61531">
        <w:rPr>
          <w:rFonts w:ascii="Arial" w:hAnsi="Arial" w:cs="Arial"/>
          <w:sz w:val="20"/>
          <w:szCs w:val="20"/>
          <w:lang w:val="en-GB"/>
        </w:rPr>
        <w:t xml:space="preserve">as well as </w:t>
      </w:r>
      <w:r w:rsidR="00455EF1">
        <w:rPr>
          <w:rFonts w:ascii="Arial" w:hAnsi="Arial" w:cs="Arial"/>
          <w:sz w:val="20"/>
          <w:szCs w:val="20"/>
          <w:lang w:val="en-GB"/>
        </w:rPr>
        <w:t xml:space="preserve">the </w:t>
      </w:r>
      <w:r w:rsidR="00FD52FD">
        <w:rPr>
          <w:rFonts w:ascii="Arial" w:hAnsi="Arial" w:cs="Arial"/>
          <w:sz w:val="20"/>
          <w:szCs w:val="20"/>
          <w:lang w:val="en-GB"/>
        </w:rPr>
        <w:t xml:space="preserve">investment </w:t>
      </w:r>
      <w:r w:rsidR="008A4C3C">
        <w:rPr>
          <w:rFonts w:ascii="Arial" w:hAnsi="Arial" w:cs="Arial"/>
          <w:sz w:val="20"/>
          <w:szCs w:val="20"/>
          <w:lang w:val="en-GB"/>
        </w:rPr>
        <w:t>related to</w:t>
      </w:r>
      <w:r w:rsidR="00236CC2">
        <w:rPr>
          <w:rFonts w:ascii="Arial" w:hAnsi="Arial" w:cs="Arial"/>
          <w:sz w:val="20"/>
          <w:szCs w:val="20"/>
          <w:lang w:val="en-GB"/>
        </w:rPr>
        <w:t xml:space="preserve"> </w:t>
      </w:r>
      <w:r w:rsidR="00D41C8C">
        <w:rPr>
          <w:rFonts w:ascii="Arial" w:hAnsi="Arial" w:cs="Arial"/>
          <w:sz w:val="20"/>
          <w:szCs w:val="20"/>
          <w:lang w:val="en-GB"/>
        </w:rPr>
        <w:t>extension</w:t>
      </w:r>
      <w:r w:rsidR="00FD0297" w:rsidRPr="006747C6">
        <w:rPr>
          <w:rFonts w:ascii="Arial" w:hAnsi="Arial" w:cs="Arial"/>
          <w:sz w:val="20"/>
          <w:szCs w:val="20"/>
          <w:lang w:val="en-GB"/>
        </w:rPr>
        <w:t>/</w:t>
      </w:r>
      <w:r w:rsidR="00C2747D">
        <w:rPr>
          <w:rFonts w:ascii="Arial" w:hAnsi="Arial" w:cs="Arial"/>
          <w:sz w:val="20"/>
          <w:szCs w:val="20"/>
          <w:lang w:val="en-GB"/>
        </w:rPr>
        <w:t>upgrade</w:t>
      </w:r>
      <w:r w:rsidR="00FD0297" w:rsidRPr="006747C6">
        <w:rPr>
          <w:rFonts w:ascii="Arial" w:hAnsi="Arial" w:cs="Arial"/>
          <w:sz w:val="20"/>
          <w:szCs w:val="20"/>
          <w:lang w:val="en-GB"/>
        </w:rPr>
        <w:t>/</w:t>
      </w:r>
      <w:r w:rsidR="006D0A6F" w:rsidRPr="006747C6">
        <w:rPr>
          <w:rFonts w:ascii="Arial" w:hAnsi="Arial" w:cs="Arial"/>
          <w:sz w:val="20"/>
          <w:szCs w:val="20"/>
          <w:lang w:val="en-GB"/>
        </w:rPr>
        <w:t>re</w:t>
      </w:r>
      <w:r w:rsidR="00F70CDC">
        <w:rPr>
          <w:rFonts w:ascii="Arial" w:hAnsi="Arial" w:cs="Arial"/>
          <w:sz w:val="20"/>
          <w:szCs w:val="20"/>
          <w:lang w:val="en-GB"/>
        </w:rPr>
        <w:t>construction</w:t>
      </w:r>
      <w:r w:rsidR="00FD0297" w:rsidRPr="006747C6">
        <w:rPr>
          <w:rStyle w:val="Referencafusnote"/>
          <w:rFonts w:ascii="Arial" w:hAnsi="Arial" w:cs="Arial"/>
          <w:sz w:val="20"/>
          <w:szCs w:val="20"/>
          <w:lang w:val="en-GB"/>
        </w:rPr>
        <w:footnoteReference w:id="1"/>
      </w:r>
      <w:r w:rsidR="00CD6DFF" w:rsidRPr="006747C6">
        <w:rPr>
          <w:rFonts w:ascii="Arial" w:hAnsi="Arial" w:cs="Arial"/>
          <w:sz w:val="20"/>
          <w:szCs w:val="20"/>
          <w:lang w:val="en-GB"/>
        </w:rPr>
        <w:t xml:space="preserve"> </w:t>
      </w:r>
      <w:r w:rsidR="00F70CDC">
        <w:rPr>
          <w:rFonts w:ascii="Arial" w:hAnsi="Arial" w:cs="Arial"/>
          <w:sz w:val="20"/>
          <w:szCs w:val="20"/>
          <w:lang w:val="en-GB"/>
        </w:rPr>
        <w:t xml:space="preserve">of </w:t>
      </w:r>
      <w:r w:rsidR="00111844">
        <w:rPr>
          <w:rFonts w:ascii="Arial" w:hAnsi="Arial" w:cs="Arial"/>
          <w:sz w:val="20"/>
          <w:szCs w:val="20"/>
          <w:lang w:val="en-GB"/>
        </w:rPr>
        <w:t>such</w:t>
      </w:r>
      <w:r w:rsidR="00F56CF1" w:rsidRPr="006747C6">
        <w:rPr>
          <w:rFonts w:ascii="Arial" w:hAnsi="Arial" w:cs="Arial"/>
          <w:sz w:val="20"/>
          <w:szCs w:val="20"/>
          <w:lang w:val="en-GB"/>
        </w:rPr>
        <w:t xml:space="preserve"> </w:t>
      </w:r>
      <w:r w:rsidR="00111844">
        <w:rPr>
          <w:rFonts w:ascii="Arial" w:hAnsi="Arial" w:cs="Arial"/>
          <w:sz w:val="20"/>
          <w:szCs w:val="20"/>
          <w:lang w:val="en-GB"/>
        </w:rPr>
        <w:t>existing</w:t>
      </w:r>
      <w:r w:rsidR="00170F8B" w:rsidRPr="006747C6">
        <w:rPr>
          <w:rFonts w:ascii="Arial" w:hAnsi="Arial" w:cs="Arial"/>
          <w:sz w:val="20"/>
          <w:szCs w:val="20"/>
          <w:lang w:val="en-GB"/>
        </w:rPr>
        <w:t xml:space="preserve"> </w:t>
      </w:r>
      <w:r w:rsidR="005F0767">
        <w:rPr>
          <w:rFonts w:ascii="Arial" w:hAnsi="Arial" w:cs="Arial"/>
          <w:sz w:val="20"/>
          <w:szCs w:val="20"/>
          <w:lang w:val="en-GB"/>
        </w:rPr>
        <w:t>“</w:t>
      </w:r>
      <w:r w:rsidR="00170F8B" w:rsidRPr="006747C6">
        <w:rPr>
          <w:rFonts w:ascii="Arial" w:hAnsi="Arial" w:cs="Arial"/>
          <w:sz w:val="20"/>
          <w:szCs w:val="20"/>
          <w:lang w:val="en-GB"/>
        </w:rPr>
        <w:t>Hotel</w:t>
      </w:r>
      <w:r w:rsidR="00111844">
        <w:rPr>
          <w:rFonts w:ascii="Arial" w:hAnsi="Arial" w:cs="Arial"/>
          <w:sz w:val="20"/>
          <w:szCs w:val="20"/>
          <w:lang w:val="en-GB"/>
        </w:rPr>
        <w:t>s</w:t>
      </w:r>
      <w:r w:rsidR="00170F8B" w:rsidRPr="006747C6">
        <w:rPr>
          <w:rFonts w:ascii="Arial" w:hAnsi="Arial" w:cs="Arial"/>
          <w:sz w:val="20"/>
          <w:szCs w:val="20"/>
          <w:lang w:val="en-GB"/>
        </w:rPr>
        <w:t xml:space="preserve">“ </w:t>
      </w:r>
      <w:r w:rsidR="00111844">
        <w:rPr>
          <w:rFonts w:ascii="Arial" w:hAnsi="Arial" w:cs="Arial"/>
          <w:sz w:val="20"/>
          <w:szCs w:val="20"/>
          <w:lang w:val="en-GB"/>
        </w:rPr>
        <w:t>and</w:t>
      </w:r>
      <w:r w:rsidR="00170F8B" w:rsidRPr="006747C6">
        <w:rPr>
          <w:rFonts w:ascii="Arial" w:hAnsi="Arial" w:cs="Arial"/>
          <w:sz w:val="20"/>
          <w:szCs w:val="20"/>
          <w:lang w:val="en-GB"/>
        </w:rPr>
        <w:t>/</w:t>
      </w:r>
      <w:r w:rsidR="00111844">
        <w:rPr>
          <w:rFonts w:ascii="Arial" w:hAnsi="Arial" w:cs="Arial"/>
          <w:sz w:val="20"/>
          <w:szCs w:val="20"/>
          <w:lang w:val="en-GB"/>
        </w:rPr>
        <w:t>or</w:t>
      </w:r>
      <w:r w:rsidR="00170F8B" w:rsidRPr="006747C6">
        <w:rPr>
          <w:rFonts w:ascii="Arial" w:hAnsi="Arial" w:cs="Arial"/>
          <w:sz w:val="20"/>
          <w:szCs w:val="20"/>
          <w:lang w:val="en-GB"/>
        </w:rPr>
        <w:t xml:space="preserve"> </w:t>
      </w:r>
      <w:r w:rsidR="005F0767">
        <w:rPr>
          <w:rFonts w:ascii="Arial" w:hAnsi="Arial" w:cs="Arial"/>
          <w:sz w:val="20"/>
          <w:szCs w:val="20"/>
          <w:lang w:val="en-GB"/>
        </w:rPr>
        <w:t>“</w:t>
      </w:r>
      <w:r w:rsidR="00111844">
        <w:rPr>
          <w:rFonts w:ascii="Arial" w:hAnsi="Arial" w:cs="Arial"/>
          <w:sz w:val="20"/>
          <w:szCs w:val="20"/>
          <w:lang w:val="en-GB"/>
        </w:rPr>
        <w:t>Camping sites</w:t>
      </w:r>
      <w:r w:rsidR="00170F8B" w:rsidRPr="006747C6">
        <w:rPr>
          <w:rFonts w:ascii="Arial" w:hAnsi="Arial" w:cs="Arial"/>
          <w:sz w:val="20"/>
          <w:szCs w:val="20"/>
          <w:lang w:val="en-GB"/>
        </w:rPr>
        <w:t>“</w:t>
      </w:r>
      <w:r w:rsidR="00F56CF1" w:rsidRPr="006747C6">
        <w:rPr>
          <w:rFonts w:ascii="Arial" w:hAnsi="Arial" w:cs="Arial"/>
          <w:sz w:val="20"/>
          <w:szCs w:val="20"/>
          <w:lang w:val="en-GB"/>
        </w:rPr>
        <w:t>.</w:t>
      </w:r>
    </w:p>
    <w:p w14:paraId="106FC576" w14:textId="77777777" w:rsidR="0006426D" w:rsidRPr="00AA7EF8" w:rsidRDefault="0006426D" w:rsidP="0006426D">
      <w:pPr>
        <w:spacing w:after="240" w:line="276" w:lineRule="auto"/>
        <w:jc w:val="both"/>
        <w:rPr>
          <w:rFonts w:ascii="Arial" w:hAnsi="Arial" w:cs="Arial"/>
          <w:b/>
          <w:bCs/>
          <w:sz w:val="20"/>
          <w:szCs w:val="20"/>
          <w:lang w:val="en-GB"/>
        </w:rPr>
      </w:pPr>
      <w:r w:rsidRPr="00AA7EF8">
        <w:rPr>
          <w:rFonts w:ascii="Arial" w:hAnsi="Arial" w:cs="Arial"/>
          <w:b/>
          <w:bCs/>
          <w:sz w:val="20"/>
          <w:szCs w:val="20"/>
          <w:lang w:val="en-GB"/>
        </w:rPr>
        <w:t>GENERAL INFORMATION ABOUT THE DNSH PRINCIPLE</w:t>
      </w:r>
    </w:p>
    <w:p w14:paraId="5121A380" w14:textId="6027ACF1" w:rsidR="00A141A8" w:rsidRPr="00DF3C1A" w:rsidRDefault="00AE5162" w:rsidP="00DF3C1A">
      <w:pPr>
        <w:spacing w:after="240" w:line="276" w:lineRule="auto"/>
        <w:jc w:val="both"/>
        <w:rPr>
          <w:rFonts w:ascii="Arial" w:hAnsi="Arial" w:cs="Arial"/>
          <w:sz w:val="20"/>
          <w:szCs w:val="20"/>
          <w:u w:val="single"/>
        </w:rPr>
      </w:pPr>
      <w:r w:rsidRPr="00AA7EF8">
        <w:rPr>
          <w:rFonts w:ascii="Arial" w:hAnsi="Arial" w:cs="Arial"/>
          <w:sz w:val="20"/>
          <w:szCs w:val="20"/>
          <w:lang w:val="en-GB"/>
        </w:rPr>
        <w:t>More information about the DNSH principle can be found at the link</w:t>
      </w:r>
      <w:r w:rsidR="00E0118B" w:rsidRPr="00DF3C1A">
        <w:rPr>
          <w:rFonts w:ascii="Arial" w:hAnsi="Arial" w:cs="Arial"/>
          <w:sz w:val="20"/>
          <w:szCs w:val="20"/>
        </w:rPr>
        <w:t xml:space="preserve">: </w:t>
      </w:r>
      <w:hyperlink r:id="rId11" w:history="1">
        <w:r w:rsidR="000C741B" w:rsidRPr="00DF3C1A">
          <w:rPr>
            <w:rStyle w:val="Hiperveza"/>
            <w:rFonts w:ascii="Arial" w:hAnsi="Arial" w:cs="Arial"/>
            <w:color w:val="auto"/>
            <w:sz w:val="20"/>
            <w:szCs w:val="20"/>
          </w:rPr>
          <w:t>https://eur-lex.europa.eu/legal-content/EN/TXT/?uri=CELEX%3A52021XC0218%2801%29</w:t>
        </w:r>
      </w:hyperlink>
      <w:r w:rsidR="000C741B" w:rsidRPr="00DF3C1A">
        <w:rPr>
          <w:rFonts w:ascii="Arial" w:hAnsi="Arial" w:cs="Arial"/>
          <w:sz w:val="20"/>
          <w:szCs w:val="20"/>
        </w:rPr>
        <w:t xml:space="preserve">, </w:t>
      </w:r>
      <w:r w:rsidR="007D604B" w:rsidRPr="00AA7EF8">
        <w:rPr>
          <w:rFonts w:ascii="Arial" w:hAnsi="Arial" w:cs="Arial"/>
          <w:sz w:val="20"/>
          <w:szCs w:val="20"/>
          <w:lang w:val="en-GB"/>
        </w:rPr>
        <w:t>and each project/investment in the context of the Financial Instrument must not significantly harm any of the six environmental goals</w:t>
      </w:r>
      <w:r w:rsidR="00A141A8" w:rsidRPr="00DF3C1A">
        <w:rPr>
          <w:rFonts w:ascii="Arial" w:hAnsi="Arial" w:cs="Arial"/>
          <w:sz w:val="20"/>
          <w:szCs w:val="20"/>
        </w:rPr>
        <w:t>.</w:t>
      </w:r>
    </w:p>
    <w:p w14:paraId="32C7A517" w14:textId="019F2984" w:rsidR="00E0118B" w:rsidRPr="00DF3C1A" w:rsidRDefault="00367CAD" w:rsidP="00DF3C1A">
      <w:pPr>
        <w:spacing w:after="240" w:line="276" w:lineRule="auto"/>
        <w:jc w:val="both"/>
        <w:rPr>
          <w:rFonts w:ascii="Arial" w:hAnsi="Arial" w:cs="Arial"/>
          <w:sz w:val="20"/>
          <w:szCs w:val="20"/>
        </w:rPr>
      </w:pPr>
      <w:r w:rsidRPr="00AA7EF8">
        <w:rPr>
          <w:rFonts w:ascii="Arial" w:hAnsi="Arial" w:cs="Arial"/>
          <w:sz w:val="20"/>
          <w:szCs w:val="20"/>
          <w:lang w:val="en-GB"/>
        </w:rPr>
        <w:t>A project/investment is considered to do significant harm to</w:t>
      </w:r>
      <w:r w:rsidR="00776423" w:rsidRPr="00DF3C1A">
        <w:rPr>
          <w:rFonts w:ascii="Arial" w:hAnsi="Arial" w:cs="Arial"/>
          <w:sz w:val="20"/>
          <w:szCs w:val="20"/>
        </w:rPr>
        <w:t>:</w:t>
      </w:r>
    </w:p>
    <w:p w14:paraId="23FE7DEB" w14:textId="6CC78627" w:rsidR="0047651E" w:rsidRPr="00DF3C1A" w:rsidRDefault="000C11D8" w:rsidP="00DF3C1A">
      <w:pPr>
        <w:pStyle w:val="Odlomakpopisa"/>
        <w:numPr>
          <w:ilvl w:val="0"/>
          <w:numId w:val="13"/>
        </w:numPr>
        <w:spacing w:after="240" w:line="276" w:lineRule="auto"/>
        <w:jc w:val="both"/>
        <w:rPr>
          <w:rFonts w:ascii="Arial" w:hAnsi="Arial" w:cs="Arial"/>
          <w:sz w:val="20"/>
          <w:szCs w:val="20"/>
        </w:rPr>
      </w:pPr>
      <w:r w:rsidRPr="00AA7EF8">
        <w:rPr>
          <w:rFonts w:ascii="Arial" w:hAnsi="Arial" w:cs="Arial"/>
          <w:b/>
          <w:bCs/>
          <w:sz w:val="20"/>
          <w:szCs w:val="20"/>
          <w:lang w:val="en-GB"/>
        </w:rPr>
        <w:t>Climate change mitigation</w:t>
      </w:r>
      <w:r w:rsidRPr="00AA7EF8">
        <w:rPr>
          <w:rFonts w:ascii="Arial" w:hAnsi="Arial" w:cs="Arial"/>
          <w:sz w:val="20"/>
          <w:szCs w:val="20"/>
          <w:lang w:val="en-GB"/>
        </w:rPr>
        <w:t xml:space="preserve"> </w:t>
      </w:r>
      <w:bookmarkStart w:id="0" w:name="_Hlk169089965"/>
      <w:r w:rsidRPr="00AA7EF8">
        <w:rPr>
          <w:rFonts w:ascii="Arial" w:hAnsi="Arial" w:cs="Arial"/>
          <w:sz w:val="20"/>
          <w:szCs w:val="20"/>
          <w:lang w:val="en-GB"/>
        </w:rPr>
        <w:t xml:space="preserve">environmental goal </w:t>
      </w:r>
      <w:bookmarkEnd w:id="0"/>
      <w:r w:rsidRPr="00AA7EF8">
        <w:rPr>
          <w:rFonts w:ascii="Arial" w:hAnsi="Arial" w:cs="Arial"/>
          <w:sz w:val="20"/>
          <w:szCs w:val="20"/>
          <w:lang w:val="en-GB"/>
        </w:rPr>
        <w:t>if it leads to significant greenhouse gas (GHG) emissions</w:t>
      </w:r>
      <w:r w:rsidR="00776423" w:rsidRPr="00DF3C1A">
        <w:rPr>
          <w:rFonts w:ascii="Arial" w:hAnsi="Arial" w:cs="Arial"/>
          <w:sz w:val="20"/>
          <w:szCs w:val="20"/>
        </w:rPr>
        <w:t xml:space="preserve">; </w:t>
      </w:r>
    </w:p>
    <w:p w14:paraId="02CBE217" w14:textId="0693B6D8" w:rsidR="0047651E" w:rsidRPr="00DF3C1A" w:rsidRDefault="003C074C" w:rsidP="00DF3C1A">
      <w:pPr>
        <w:pStyle w:val="Odlomakpopisa"/>
        <w:numPr>
          <w:ilvl w:val="0"/>
          <w:numId w:val="13"/>
        </w:numPr>
        <w:spacing w:after="240" w:line="276" w:lineRule="auto"/>
        <w:jc w:val="both"/>
        <w:rPr>
          <w:rFonts w:ascii="Arial" w:hAnsi="Arial" w:cs="Arial"/>
          <w:sz w:val="20"/>
          <w:szCs w:val="20"/>
        </w:rPr>
      </w:pPr>
      <w:r w:rsidRPr="00AA7EF8">
        <w:rPr>
          <w:rFonts w:ascii="Arial" w:hAnsi="Arial" w:cs="Arial"/>
          <w:b/>
          <w:bCs/>
          <w:sz w:val="20"/>
          <w:szCs w:val="20"/>
          <w:lang w:val="en-GB"/>
        </w:rPr>
        <w:t>Climate change adaptation</w:t>
      </w:r>
      <w:r w:rsidRPr="00AA7EF8">
        <w:rPr>
          <w:rFonts w:ascii="Arial" w:hAnsi="Arial" w:cs="Arial"/>
          <w:sz w:val="20"/>
          <w:szCs w:val="20"/>
          <w:lang w:val="en-GB"/>
        </w:rPr>
        <w:t xml:space="preserve"> environmental goal if it leads to an increased adverse impact of the current climate and the expected future climate, on the investment itself or on people, nature or assets</w:t>
      </w:r>
      <w:r w:rsidR="00776423" w:rsidRPr="00DF3C1A">
        <w:rPr>
          <w:rFonts w:ascii="Arial" w:hAnsi="Arial" w:cs="Arial"/>
          <w:sz w:val="20"/>
          <w:szCs w:val="20"/>
        </w:rPr>
        <w:t xml:space="preserve">; </w:t>
      </w:r>
    </w:p>
    <w:p w14:paraId="2CB89192" w14:textId="347E4B8D" w:rsidR="0047651E" w:rsidRPr="00DF3C1A" w:rsidRDefault="00FA6885" w:rsidP="00DF3C1A">
      <w:pPr>
        <w:pStyle w:val="Odlomakpopisa"/>
        <w:numPr>
          <w:ilvl w:val="0"/>
          <w:numId w:val="13"/>
        </w:numPr>
        <w:spacing w:after="240" w:line="276" w:lineRule="auto"/>
        <w:jc w:val="both"/>
        <w:rPr>
          <w:rFonts w:ascii="Arial" w:hAnsi="Arial" w:cs="Arial"/>
          <w:sz w:val="20"/>
          <w:szCs w:val="20"/>
        </w:rPr>
      </w:pPr>
      <w:r w:rsidRPr="00AA7EF8">
        <w:rPr>
          <w:rFonts w:ascii="Arial" w:hAnsi="Arial" w:cs="Arial"/>
          <w:b/>
          <w:bCs/>
          <w:sz w:val="20"/>
          <w:szCs w:val="20"/>
          <w:lang w:val="en-GB"/>
        </w:rPr>
        <w:t xml:space="preserve">Sustainable use and protection of water and marine resources </w:t>
      </w:r>
      <w:r w:rsidRPr="00AA7EF8">
        <w:rPr>
          <w:rFonts w:ascii="Arial" w:hAnsi="Arial" w:cs="Arial"/>
          <w:sz w:val="20"/>
          <w:szCs w:val="20"/>
          <w:lang w:val="en-GB"/>
        </w:rPr>
        <w:t>environmental goal if it is detrimental to the good status or the good ecological potential of bodies of water, including surface water and groundwater, or to the good environmental status of marine waters</w:t>
      </w:r>
      <w:r w:rsidR="00776423" w:rsidRPr="00DF3C1A">
        <w:rPr>
          <w:rFonts w:ascii="Arial" w:hAnsi="Arial" w:cs="Arial"/>
          <w:sz w:val="20"/>
          <w:szCs w:val="20"/>
        </w:rPr>
        <w:t>;</w:t>
      </w:r>
    </w:p>
    <w:p w14:paraId="2AD271C5" w14:textId="535E4E5C" w:rsidR="0047651E" w:rsidRPr="00DF3C1A" w:rsidRDefault="00BC28F7" w:rsidP="00DF3C1A">
      <w:pPr>
        <w:pStyle w:val="Odlomakpopisa"/>
        <w:numPr>
          <w:ilvl w:val="0"/>
          <w:numId w:val="13"/>
        </w:numPr>
        <w:spacing w:after="240" w:line="276" w:lineRule="auto"/>
        <w:jc w:val="both"/>
        <w:rPr>
          <w:rFonts w:ascii="Arial" w:hAnsi="Arial" w:cs="Arial"/>
          <w:sz w:val="20"/>
          <w:szCs w:val="20"/>
        </w:rPr>
      </w:pPr>
      <w:r w:rsidRPr="00AA7EF8">
        <w:rPr>
          <w:rFonts w:ascii="Arial" w:hAnsi="Arial" w:cs="Arial"/>
          <w:b/>
          <w:bCs/>
          <w:sz w:val="20"/>
          <w:szCs w:val="20"/>
          <w:lang w:val="en-GB"/>
        </w:rPr>
        <w:t>Circular economy</w:t>
      </w:r>
      <w:r w:rsidRPr="00AA7EF8">
        <w:rPr>
          <w:lang w:val="en-GB"/>
        </w:rPr>
        <w:t xml:space="preserve"> </w:t>
      </w:r>
      <w:r w:rsidRPr="00AA7EF8">
        <w:rPr>
          <w:rFonts w:ascii="Arial" w:hAnsi="Arial" w:cs="Arial"/>
          <w:sz w:val="20"/>
          <w:szCs w:val="20"/>
          <w:lang w:val="en-GB"/>
        </w:rPr>
        <w:t>environmental goal, including waste prevention and recycling, if it leads to significant inefficiencies in the use of materials or in the direct or indirect use of natural resources, or if it significantly increases the generation, incineration or disposal of waste, or if the long-term disposal of waste may cause significant and long-term environmental harm</w:t>
      </w:r>
      <w:r w:rsidR="00776423" w:rsidRPr="00DF3C1A">
        <w:rPr>
          <w:rFonts w:ascii="Arial" w:hAnsi="Arial" w:cs="Arial"/>
          <w:sz w:val="20"/>
          <w:szCs w:val="20"/>
        </w:rPr>
        <w:t>;</w:t>
      </w:r>
    </w:p>
    <w:p w14:paraId="0BA7ECF8" w14:textId="5789ACD4" w:rsidR="0047651E" w:rsidRPr="00DF3C1A" w:rsidRDefault="004200F1" w:rsidP="00DF3C1A">
      <w:pPr>
        <w:pStyle w:val="Odlomakpopisa"/>
        <w:numPr>
          <w:ilvl w:val="0"/>
          <w:numId w:val="13"/>
        </w:numPr>
        <w:spacing w:after="240" w:line="276" w:lineRule="auto"/>
        <w:jc w:val="both"/>
        <w:rPr>
          <w:rFonts w:ascii="Arial" w:hAnsi="Arial" w:cs="Arial"/>
          <w:sz w:val="20"/>
          <w:szCs w:val="20"/>
        </w:rPr>
      </w:pPr>
      <w:r w:rsidRPr="00AA7EF8">
        <w:rPr>
          <w:rFonts w:ascii="Arial" w:hAnsi="Arial" w:cs="Arial"/>
          <w:b/>
          <w:bCs/>
          <w:sz w:val="20"/>
          <w:szCs w:val="20"/>
          <w:lang w:val="en-GB"/>
        </w:rPr>
        <w:t>Pollution prevention and control</w:t>
      </w:r>
      <w:r w:rsidRPr="00AA7EF8">
        <w:rPr>
          <w:lang w:val="en-GB"/>
        </w:rPr>
        <w:t xml:space="preserve"> </w:t>
      </w:r>
      <w:r w:rsidRPr="00AA7EF8">
        <w:rPr>
          <w:rFonts w:ascii="Arial" w:hAnsi="Arial" w:cs="Arial"/>
          <w:sz w:val="20"/>
          <w:szCs w:val="20"/>
          <w:lang w:val="en-GB"/>
        </w:rPr>
        <w:t>environmental goal if it leads to a significant increase in emissions of pollutants into air, water or land</w:t>
      </w:r>
      <w:r w:rsidR="00776423" w:rsidRPr="00DF3C1A">
        <w:rPr>
          <w:rFonts w:ascii="Arial" w:hAnsi="Arial" w:cs="Arial"/>
          <w:sz w:val="20"/>
          <w:szCs w:val="20"/>
        </w:rPr>
        <w:t>;</w:t>
      </w:r>
    </w:p>
    <w:p w14:paraId="793B9ACA" w14:textId="2F61C798" w:rsidR="00776423" w:rsidRPr="00DF3C1A" w:rsidRDefault="004B4B92" w:rsidP="00DF3C1A">
      <w:pPr>
        <w:pStyle w:val="Odlomakpopisa"/>
        <w:numPr>
          <w:ilvl w:val="0"/>
          <w:numId w:val="13"/>
        </w:numPr>
        <w:spacing w:after="240" w:line="276" w:lineRule="auto"/>
        <w:jc w:val="both"/>
        <w:rPr>
          <w:rFonts w:ascii="Arial" w:hAnsi="Arial" w:cs="Arial"/>
          <w:sz w:val="20"/>
          <w:szCs w:val="20"/>
        </w:rPr>
      </w:pPr>
      <w:r w:rsidRPr="00AA7EF8">
        <w:rPr>
          <w:rFonts w:ascii="Arial" w:hAnsi="Arial" w:cs="Arial"/>
          <w:b/>
          <w:bCs/>
          <w:sz w:val="20"/>
          <w:szCs w:val="20"/>
          <w:lang w:val="en-GB"/>
        </w:rPr>
        <w:t xml:space="preserve">Protection and restoration of biodiversity and ecosystems </w:t>
      </w:r>
      <w:r w:rsidRPr="00AA7EF8">
        <w:rPr>
          <w:rFonts w:ascii="Arial" w:hAnsi="Arial" w:cs="Arial"/>
          <w:sz w:val="20"/>
          <w:szCs w:val="20"/>
          <w:lang w:val="en-GB"/>
        </w:rPr>
        <w:t>environmental goal if it is significantly detrimental to the good condition and resilience of ecosystems, or detrimental to the conservation status of habitats and species</w:t>
      </w:r>
      <w:r w:rsidR="001970AC">
        <w:rPr>
          <w:rFonts w:ascii="Arial" w:hAnsi="Arial" w:cs="Arial"/>
          <w:sz w:val="20"/>
          <w:szCs w:val="20"/>
        </w:rPr>
        <w:t>.</w:t>
      </w:r>
    </w:p>
    <w:p w14:paraId="27A038F9" w14:textId="1F452FF9" w:rsidR="002578C2" w:rsidRPr="00DF3C1A" w:rsidRDefault="00991681" w:rsidP="00DF3C1A">
      <w:pPr>
        <w:spacing w:after="240" w:line="276" w:lineRule="auto"/>
        <w:jc w:val="both"/>
        <w:rPr>
          <w:rFonts w:ascii="Arial" w:hAnsi="Arial" w:cs="Arial"/>
          <w:sz w:val="20"/>
          <w:szCs w:val="20"/>
        </w:rPr>
      </w:pPr>
      <w:r w:rsidRPr="00AA7EF8">
        <w:rPr>
          <w:rFonts w:ascii="Arial" w:hAnsi="Arial" w:cs="Arial"/>
          <w:sz w:val="20"/>
          <w:szCs w:val="20"/>
          <w:lang w:val="en-GB"/>
        </w:rPr>
        <w:t>The DNSH principle has to be embedded into the Main Design</w:t>
      </w:r>
      <w:r w:rsidRPr="00AA7EF8">
        <w:rPr>
          <w:rStyle w:val="Referencafusnote"/>
          <w:rFonts w:ascii="Arial" w:hAnsi="Arial" w:cs="Arial"/>
          <w:sz w:val="20"/>
          <w:szCs w:val="20"/>
          <w:lang w:val="en-GB"/>
        </w:rPr>
        <w:footnoteReference w:id="2"/>
      </w:r>
      <w:r w:rsidRPr="00AA7EF8">
        <w:rPr>
          <w:rFonts w:ascii="Arial" w:hAnsi="Arial" w:cs="Arial"/>
          <w:sz w:val="20"/>
          <w:szCs w:val="20"/>
          <w:lang w:val="en-GB"/>
        </w:rPr>
        <w:t xml:space="preserve"> of each project/investment of the FI with a possibility of clear and unambiguous verification of all six environmental goals of DNSH. The fact that </w:t>
      </w:r>
      <w:r w:rsidRPr="00AA7EF8">
        <w:rPr>
          <w:rFonts w:ascii="Arial" w:hAnsi="Arial" w:cs="Arial"/>
          <w:sz w:val="20"/>
          <w:szCs w:val="20"/>
          <w:lang w:val="en-GB"/>
        </w:rPr>
        <w:lastRenderedPageBreak/>
        <w:t>the DNSH principle is embedded into the Main Design of an investment planned under the FI should be clearly proven with a link to</w:t>
      </w:r>
      <w:r w:rsidR="000E14BE" w:rsidRPr="00DF3C1A">
        <w:rPr>
          <w:rFonts w:ascii="Arial" w:hAnsi="Arial" w:cs="Arial"/>
          <w:sz w:val="20"/>
          <w:szCs w:val="20"/>
        </w:rPr>
        <w:t>:</w:t>
      </w:r>
      <w:r w:rsidR="002578C2" w:rsidRPr="00DF3C1A">
        <w:rPr>
          <w:rFonts w:ascii="Arial" w:hAnsi="Arial" w:cs="Arial"/>
          <w:sz w:val="20"/>
          <w:szCs w:val="20"/>
        </w:rPr>
        <w:t xml:space="preserve"> </w:t>
      </w:r>
    </w:p>
    <w:p w14:paraId="54667E2D" w14:textId="77777777" w:rsidR="002F4BBD" w:rsidRPr="00230B75" w:rsidRDefault="002578C2" w:rsidP="00230B75">
      <w:pPr>
        <w:spacing w:after="240" w:line="276" w:lineRule="auto"/>
        <w:jc w:val="both"/>
        <w:rPr>
          <w:rFonts w:ascii="Arial" w:hAnsi="Arial" w:cs="Arial"/>
          <w:b/>
          <w:bCs/>
          <w:sz w:val="20"/>
          <w:szCs w:val="20"/>
          <w:lang w:val="en-GB"/>
        </w:rPr>
      </w:pPr>
      <w:r w:rsidRPr="00230B75">
        <w:rPr>
          <w:rFonts w:ascii="Arial" w:hAnsi="Arial" w:cs="Arial"/>
          <w:b/>
          <w:bCs/>
          <w:sz w:val="20"/>
          <w:szCs w:val="20"/>
        </w:rPr>
        <w:t>a)</w:t>
      </w:r>
      <w:r w:rsidRPr="00230B75">
        <w:rPr>
          <w:rFonts w:ascii="Arial" w:hAnsi="Arial" w:cs="Arial"/>
          <w:sz w:val="20"/>
          <w:szCs w:val="20"/>
        </w:rPr>
        <w:t xml:space="preserve"> </w:t>
      </w:r>
      <w:r w:rsidR="002F4BBD" w:rsidRPr="00230B75">
        <w:rPr>
          <w:rFonts w:ascii="Arial" w:hAnsi="Arial" w:cs="Arial"/>
          <w:b/>
          <w:bCs/>
          <w:sz w:val="20"/>
          <w:szCs w:val="20"/>
          <w:lang w:val="en-GB"/>
        </w:rPr>
        <w:t xml:space="preserve">The folder name and the page number of the Main Design where it is proven that no significant harm is done to any of the six environmental goals </w:t>
      </w:r>
    </w:p>
    <w:p w14:paraId="4522F139" w14:textId="77777777" w:rsidR="005B42ED" w:rsidRPr="005B42ED" w:rsidRDefault="002578C2" w:rsidP="005B42ED">
      <w:pPr>
        <w:spacing w:after="240" w:line="276" w:lineRule="auto"/>
        <w:jc w:val="both"/>
        <w:rPr>
          <w:rFonts w:ascii="Arial" w:hAnsi="Arial" w:cs="Arial"/>
          <w:b/>
          <w:bCs/>
          <w:sz w:val="20"/>
          <w:szCs w:val="20"/>
          <w:lang w:val="en-GB"/>
        </w:rPr>
      </w:pPr>
      <w:r w:rsidRPr="005B42ED">
        <w:rPr>
          <w:rFonts w:ascii="Arial" w:hAnsi="Arial" w:cs="Arial"/>
          <w:b/>
          <w:bCs/>
          <w:sz w:val="20"/>
          <w:szCs w:val="20"/>
        </w:rPr>
        <w:t xml:space="preserve">b) </w:t>
      </w:r>
      <w:r w:rsidR="005B42ED" w:rsidRPr="005B42ED">
        <w:rPr>
          <w:rFonts w:ascii="Arial" w:hAnsi="Arial" w:cs="Arial"/>
          <w:b/>
          <w:bCs/>
          <w:sz w:val="20"/>
          <w:szCs w:val="20"/>
          <w:lang w:val="en-GB"/>
        </w:rPr>
        <w:t>The number and name of the item in the bill of costs proving that no significant harm is done to a particular environmental goal, if the absence of significant harm is proven by an item from the bill of costs</w:t>
      </w:r>
    </w:p>
    <w:p w14:paraId="36E4DDB4" w14:textId="44440D55" w:rsidR="004468F6" w:rsidRPr="005065E8" w:rsidRDefault="002578C2" w:rsidP="00DF3C1A">
      <w:pPr>
        <w:spacing w:after="240" w:line="276" w:lineRule="auto"/>
        <w:jc w:val="both"/>
        <w:rPr>
          <w:rFonts w:ascii="Arial" w:hAnsi="Arial" w:cs="Arial"/>
          <w:b/>
          <w:bCs/>
          <w:sz w:val="20"/>
          <w:szCs w:val="20"/>
        </w:rPr>
      </w:pPr>
      <w:r w:rsidRPr="005065E8">
        <w:rPr>
          <w:rFonts w:ascii="Arial" w:hAnsi="Arial" w:cs="Arial"/>
          <w:b/>
          <w:bCs/>
          <w:sz w:val="20"/>
          <w:szCs w:val="20"/>
        </w:rPr>
        <w:t xml:space="preserve">c) </w:t>
      </w:r>
      <w:r w:rsidR="001F6EC1" w:rsidRPr="00AA7EF8">
        <w:rPr>
          <w:rFonts w:ascii="Arial" w:hAnsi="Arial" w:cs="Arial"/>
          <w:b/>
          <w:bCs/>
          <w:sz w:val="20"/>
          <w:szCs w:val="20"/>
          <w:lang w:val="en-GB"/>
        </w:rPr>
        <w:t xml:space="preserve">The folder name and the </w:t>
      </w:r>
      <w:r w:rsidR="001F6EC1">
        <w:rPr>
          <w:rFonts w:ascii="Arial" w:hAnsi="Arial" w:cs="Arial"/>
          <w:b/>
          <w:bCs/>
          <w:sz w:val="20"/>
          <w:szCs w:val="20"/>
          <w:lang w:val="en-GB"/>
        </w:rPr>
        <w:t>page</w:t>
      </w:r>
      <w:r w:rsidR="001F6EC1" w:rsidRPr="00AA7EF8">
        <w:rPr>
          <w:rFonts w:ascii="Arial" w:hAnsi="Arial" w:cs="Arial"/>
          <w:b/>
          <w:bCs/>
          <w:sz w:val="20"/>
          <w:szCs w:val="20"/>
          <w:lang w:val="en-GB"/>
        </w:rPr>
        <w:t xml:space="preserve"> number of the Main Design describing the calculation methodology and the actual calculation of CO2 emissions after the intervention and before the intervention in the case of a reconstruction, extension, upgrade, etc</w:t>
      </w:r>
      <w:r w:rsidR="00CD0D79" w:rsidRPr="005065E8">
        <w:rPr>
          <w:rFonts w:ascii="Arial" w:hAnsi="Arial" w:cs="Arial"/>
          <w:b/>
          <w:bCs/>
          <w:sz w:val="20"/>
          <w:szCs w:val="20"/>
        </w:rPr>
        <w:t>.</w:t>
      </w:r>
    </w:p>
    <w:p w14:paraId="2DA372D5" w14:textId="51DD66FA" w:rsidR="00FD490C" w:rsidRPr="00DF3C1A" w:rsidRDefault="00A05412" w:rsidP="00DF3C1A">
      <w:pPr>
        <w:spacing w:after="240" w:line="276" w:lineRule="auto"/>
        <w:jc w:val="both"/>
        <w:rPr>
          <w:rFonts w:ascii="Arial" w:hAnsi="Arial" w:cs="Arial"/>
          <w:sz w:val="20"/>
          <w:szCs w:val="20"/>
        </w:rPr>
      </w:pPr>
      <w:r w:rsidRPr="00AA7EF8">
        <w:rPr>
          <w:rFonts w:ascii="Arial" w:hAnsi="Arial" w:cs="Arial"/>
          <w:sz w:val="20"/>
          <w:szCs w:val="20"/>
          <w:lang w:val="en-GB"/>
        </w:rPr>
        <w:t>If separate subsequent calculations proving the DNSH principle or subsequently created project folders or amended existing project folders are prepared for the project/investment, every calculation should have a clear and unambiguous connection with the Main Design and form an integral part of it (example: connection with the Main Design submitted for obtaining necessary building documents</w:t>
      </w:r>
      <w:r w:rsidR="005B3A94" w:rsidRPr="00DF3C1A">
        <w:rPr>
          <w:rFonts w:ascii="Arial" w:hAnsi="Arial" w:cs="Arial"/>
          <w:sz w:val="20"/>
          <w:szCs w:val="20"/>
        </w:rPr>
        <w:t>).</w:t>
      </w:r>
      <w:r w:rsidR="003F2215" w:rsidRPr="00DF3C1A">
        <w:rPr>
          <w:rFonts w:ascii="Arial" w:hAnsi="Arial" w:cs="Arial"/>
          <w:sz w:val="20"/>
          <w:szCs w:val="20"/>
        </w:rPr>
        <w:t xml:space="preserve"> </w:t>
      </w:r>
    </w:p>
    <w:p w14:paraId="5E8C57D2" w14:textId="77777777" w:rsidR="00634908" w:rsidRPr="00AA7EF8" w:rsidRDefault="00634908" w:rsidP="00634908">
      <w:pPr>
        <w:spacing w:after="240" w:line="276" w:lineRule="auto"/>
        <w:jc w:val="both"/>
        <w:rPr>
          <w:rFonts w:ascii="Arial" w:hAnsi="Arial" w:cs="Arial"/>
          <w:b/>
          <w:bCs/>
          <w:sz w:val="20"/>
          <w:szCs w:val="20"/>
          <w:lang w:val="en-GB"/>
        </w:rPr>
      </w:pPr>
      <w:r w:rsidRPr="00AA7EF8">
        <w:rPr>
          <w:rFonts w:ascii="Arial" w:hAnsi="Arial" w:cs="Arial"/>
          <w:b/>
          <w:bCs/>
          <w:sz w:val="20"/>
          <w:szCs w:val="20"/>
          <w:lang w:val="en-GB"/>
        </w:rPr>
        <w:t>GENERAL INFORMATION ABOUT TECHNICAL GUIDELINES ON THE PREPARATION OF INFRASTRUCTURE FOR CLIMATE CHANGES</w:t>
      </w:r>
    </w:p>
    <w:p w14:paraId="764FC6CE" w14:textId="3368B901" w:rsidR="0044476F" w:rsidRPr="00DF3C1A" w:rsidRDefault="0005514C" w:rsidP="00DF3C1A">
      <w:pPr>
        <w:spacing w:after="240" w:line="276" w:lineRule="auto"/>
        <w:jc w:val="both"/>
        <w:rPr>
          <w:rFonts w:ascii="Arial" w:hAnsi="Arial" w:cs="Arial"/>
          <w:sz w:val="20"/>
          <w:szCs w:val="20"/>
        </w:rPr>
      </w:pPr>
      <w:r w:rsidRPr="00AA7EF8">
        <w:rPr>
          <w:rFonts w:ascii="Arial" w:hAnsi="Arial" w:cs="Arial"/>
          <w:sz w:val="20"/>
          <w:szCs w:val="20"/>
          <w:lang w:val="en-GB"/>
        </w:rPr>
        <w:t>More information about the Technical Guidelines on the Preparation of Infrastructure for Climate Changes in the 2021–2027 Period can be found at the link</w:t>
      </w:r>
      <w:r w:rsidR="0044476F" w:rsidRPr="00DF3C1A">
        <w:rPr>
          <w:rFonts w:ascii="Arial" w:hAnsi="Arial" w:cs="Arial"/>
          <w:sz w:val="20"/>
          <w:szCs w:val="20"/>
        </w:rPr>
        <w:t xml:space="preserve">: </w:t>
      </w:r>
      <w:hyperlink r:id="rId12" w:history="1">
        <w:r w:rsidR="00F5090A" w:rsidRPr="00DF3C1A">
          <w:rPr>
            <w:rStyle w:val="Hiperveza"/>
            <w:rFonts w:ascii="Arial" w:hAnsi="Arial" w:cs="Arial"/>
            <w:color w:val="auto"/>
            <w:sz w:val="20"/>
            <w:szCs w:val="20"/>
          </w:rPr>
          <w:t>https://eur-lex.europa.eu/legal-content/HR/TXT/HTML/?uri=OJ%3AC%3A2021%3A373%3AFULL</w:t>
        </w:r>
      </w:hyperlink>
      <w:r w:rsidR="003D6DB0" w:rsidRPr="00DF3C1A">
        <w:rPr>
          <w:rFonts w:ascii="Arial" w:hAnsi="Arial" w:cs="Arial"/>
          <w:sz w:val="20"/>
          <w:szCs w:val="20"/>
        </w:rPr>
        <w:t xml:space="preserve">, </w:t>
      </w:r>
      <w:r w:rsidR="00F37181" w:rsidRPr="00AA7EF8">
        <w:rPr>
          <w:rFonts w:ascii="Arial" w:hAnsi="Arial" w:cs="Arial"/>
          <w:sz w:val="20"/>
          <w:szCs w:val="20"/>
          <w:lang w:val="en-GB"/>
        </w:rPr>
        <w:t>and each project/investment in the context of the Financial Instrument must be aligned with the Technical Guidelines</w:t>
      </w:r>
      <w:r w:rsidR="00036448" w:rsidRPr="00DF3C1A">
        <w:rPr>
          <w:rFonts w:ascii="Arial" w:hAnsi="Arial" w:cs="Arial"/>
          <w:sz w:val="20"/>
          <w:szCs w:val="20"/>
        </w:rPr>
        <w:t xml:space="preserve">. </w:t>
      </w:r>
    </w:p>
    <w:p w14:paraId="186656A6" w14:textId="288256E3" w:rsidR="00F56CF1" w:rsidRPr="005F0767" w:rsidRDefault="007608E6" w:rsidP="00DF3C1A">
      <w:pPr>
        <w:spacing w:after="240" w:line="276" w:lineRule="auto"/>
        <w:jc w:val="both"/>
        <w:rPr>
          <w:rFonts w:ascii="Arial" w:hAnsi="Arial" w:cs="Arial"/>
          <w:sz w:val="20"/>
          <w:szCs w:val="20"/>
          <w:lang w:val="en-GB"/>
        </w:rPr>
      </w:pPr>
      <w:r w:rsidRPr="00AA7EF8">
        <w:rPr>
          <w:rFonts w:ascii="Arial" w:hAnsi="Arial" w:cs="Arial"/>
          <w:sz w:val="20"/>
          <w:szCs w:val="20"/>
          <w:lang w:val="en-GB"/>
        </w:rPr>
        <w:t xml:space="preserve">In accordance with the Technical Guidelines, infrastructure also includes projects/investments under </w:t>
      </w:r>
      <w:r w:rsidR="00E5602F" w:rsidRPr="00DF3C1A">
        <w:rPr>
          <w:rFonts w:ascii="Arial" w:hAnsi="Arial" w:cs="Arial"/>
          <w:sz w:val="20"/>
          <w:szCs w:val="20"/>
        </w:rPr>
        <w:t xml:space="preserve"> </w:t>
      </w:r>
      <w:r w:rsidR="00BE7D8F" w:rsidRPr="00AA7EF8">
        <w:rPr>
          <w:rFonts w:ascii="Arial" w:hAnsi="Arial" w:cs="Arial"/>
          <w:sz w:val="20"/>
          <w:szCs w:val="20"/>
          <w:lang w:val="en-GB"/>
        </w:rPr>
        <w:t>this financial instrument, i.e. all investments related to the construction of new</w:t>
      </w:r>
      <w:r w:rsidR="00BE7D8F" w:rsidRPr="00DF3C1A">
        <w:rPr>
          <w:rFonts w:ascii="Arial" w:hAnsi="Arial" w:cs="Arial"/>
          <w:sz w:val="20"/>
          <w:szCs w:val="20"/>
        </w:rPr>
        <w:t xml:space="preserve"> </w:t>
      </w:r>
      <w:r w:rsidR="00A6639C" w:rsidRPr="005F0767">
        <w:rPr>
          <w:rFonts w:ascii="Arial" w:hAnsi="Arial" w:cs="Arial"/>
          <w:sz w:val="20"/>
          <w:szCs w:val="20"/>
          <w:lang w:val="en-GB"/>
        </w:rPr>
        <w:t xml:space="preserve">accommodation establishments from </w:t>
      </w:r>
      <w:r w:rsidR="005F0767">
        <w:rPr>
          <w:rFonts w:ascii="Arial" w:hAnsi="Arial" w:cs="Arial"/>
          <w:sz w:val="20"/>
          <w:szCs w:val="20"/>
          <w:lang w:val="en-GB"/>
        </w:rPr>
        <w:t>“</w:t>
      </w:r>
      <w:r w:rsidR="00F56CF1" w:rsidRPr="005F0767">
        <w:rPr>
          <w:rFonts w:ascii="Arial" w:hAnsi="Arial" w:cs="Arial"/>
          <w:sz w:val="20"/>
          <w:szCs w:val="20"/>
          <w:lang w:val="en-GB"/>
        </w:rPr>
        <w:t>Hotel</w:t>
      </w:r>
      <w:r w:rsidR="00A6639C" w:rsidRPr="005F0767">
        <w:rPr>
          <w:rFonts w:ascii="Arial" w:hAnsi="Arial" w:cs="Arial"/>
          <w:sz w:val="20"/>
          <w:szCs w:val="20"/>
          <w:lang w:val="en-GB"/>
        </w:rPr>
        <w:t>s</w:t>
      </w:r>
      <w:r w:rsidR="00F56CF1" w:rsidRPr="005F0767">
        <w:rPr>
          <w:rFonts w:ascii="Arial" w:hAnsi="Arial" w:cs="Arial"/>
          <w:sz w:val="20"/>
          <w:szCs w:val="20"/>
          <w:lang w:val="en-GB"/>
        </w:rPr>
        <w:t xml:space="preserve">“ </w:t>
      </w:r>
      <w:r w:rsidR="00A6639C" w:rsidRPr="005F0767">
        <w:rPr>
          <w:rFonts w:ascii="Arial" w:hAnsi="Arial" w:cs="Arial"/>
          <w:sz w:val="20"/>
          <w:szCs w:val="20"/>
          <w:lang w:val="en-GB"/>
        </w:rPr>
        <w:t>and</w:t>
      </w:r>
      <w:r w:rsidR="00F56CF1" w:rsidRPr="005F0767">
        <w:rPr>
          <w:rFonts w:ascii="Arial" w:hAnsi="Arial" w:cs="Arial"/>
          <w:sz w:val="20"/>
          <w:szCs w:val="20"/>
          <w:lang w:val="en-GB"/>
        </w:rPr>
        <w:t xml:space="preserve"> </w:t>
      </w:r>
      <w:r w:rsidR="005F0767">
        <w:rPr>
          <w:rFonts w:ascii="Arial" w:hAnsi="Arial" w:cs="Arial"/>
          <w:sz w:val="20"/>
          <w:szCs w:val="20"/>
          <w:lang w:val="en-GB"/>
        </w:rPr>
        <w:t>“</w:t>
      </w:r>
      <w:r w:rsidR="00A6639C" w:rsidRPr="005F0767">
        <w:rPr>
          <w:rFonts w:ascii="Arial" w:hAnsi="Arial" w:cs="Arial"/>
          <w:sz w:val="20"/>
          <w:szCs w:val="20"/>
          <w:lang w:val="en-GB"/>
        </w:rPr>
        <w:t>Camping sites</w:t>
      </w:r>
      <w:r w:rsidR="00F56CF1" w:rsidRPr="005F0767">
        <w:rPr>
          <w:rFonts w:ascii="Arial" w:hAnsi="Arial" w:cs="Arial"/>
          <w:sz w:val="20"/>
          <w:szCs w:val="20"/>
          <w:lang w:val="en-GB"/>
        </w:rPr>
        <w:t xml:space="preserve">“ </w:t>
      </w:r>
      <w:r w:rsidR="00A6639C" w:rsidRPr="005F0767">
        <w:rPr>
          <w:rFonts w:ascii="Arial" w:hAnsi="Arial" w:cs="Arial"/>
          <w:sz w:val="20"/>
          <w:szCs w:val="20"/>
          <w:lang w:val="en-GB"/>
        </w:rPr>
        <w:t xml:space="preserve">groups, as well as </w:t>
      </w:r>
      <w:r w:rsidR="00F56CF1" w:rsidRPr="005F0767">
        <w:rPr>
          <w:rFonts w:ascii="Arial" w:hAnsi="Arial" w:cs="Arial"/>
          <w:sz w:val="20"/>
          <w:szCs w:val="20"/>
          <w:lang w:val="en-GB"/>
        </w:rPr>
        <w:t xml:space="preserve"> </w:t>
      </w:r>
      <w:r w:rsidR="009B7B8B" w:rsidRPr="005F0767">
        <w:rPr>
          <w:rFonts w:ascii="Arial" w:hAnsi="Arial" w:cs="Arial"/>
          <w:sz w:val="20"/>
          <w:szCs w:val="20"/>
          <w:lang w:val="en-GB"/>
        </w:rPr>
        <w:t xml:space="preserve">extension/upgrade/reconstruction </w:t>
      </w:r>
      <w:r w:rsidR="00C933F8" w:rsidRPr="005F0767">
        <w:rPr>
          <w:rFonts w:ascii="Arial" w:hAnsi="Arial" w:cs="Arial"/>
          <w:sz w:val="20"/>
          <w:szCs w:val="20"/>
          <w:lang w:val="en-GB"/>
        </w:rPr>
        <w:t>of such existing</w:t>
      </w:r>
      <w:r w:rsidR="00F56CF1" w:rsidRPr="005F0767">
        <w:rPr>
          <w:rFonts w:ascii="Arial" w:hAnsi="Arial" w:cs="Arial"/>
          <w:sz w:val="20"/>
          <w:szCs w:val="20"/>
          <w:lang w:val="en-GB"/>
        </w:rPr>
        <w:t xml:space="preserve">  </w:t>
      </w:r>
      <w:r w:rsidR="005F0767">
        <w:rPr>
          <w:rFonts w:ascii="Arial" w:hAnsi="Arial" w:cs="Arial"/>
          <w:sz w:val="20"/>
          <w:szCs w:val="20"/>
          <w:lang w:val="en-GB"/>
        </w:rPr>
        <w:t>“</w:t>
      </w:r>
      <w:r w:rsidR="00F56CF1" w:rsidRPr="005F0767">
        <w:rPr>
          <w:rFonts w:ascii="Arial" w:hAnsi="Arial" w:cs="Arial"/>
          <w:sz w:val="20"/>
          <w:szCs w:val="20"/>
          <w:lang w:val="en-GB"/>
        </w:rPr>
        <w:t>Hotel</w:t>
      </w:r>
      <w:r w:rsidR="00C933F8" w:rsidRPr="005F0767">
        <w:rPr>
          <w:rFonts w:ascii="Arial" w:hAnsi="Arial" w:cs="Arial"/>
          <w:sz w:val="20"/>
          <w:szCs w:val="20"/>
          <w:lang w:val="en-GB"/>
        </w:rPr>
        <w:t>s</w:t>
      </w:r>
      <w:r w:rsidR="00F56CF1" w:rsidRPr="005F0767">
        <w:rPr>
          <w:rFonts w:ascii="Arial" w:hAnsi="Arial" w:cs="Arial"/>
          <w:sz w:val="20"/>
          <w:szCs w:val="20"/>
          <w:lang w:val="en-GB"/>
        </w:rPr>
        <w:t xml:space="preserve">“ </w:t>
      </w:r>
      <w:r w:rsidR="00A50CEF" w:rsidRPr="005F0767">
        <w:rPr>
          <w:rFonts w:ascii="Arial" w:hAnsi="Arial" w:cs="Arial"/>
          <w:sz w:val="20"/>
          <w:szCs w:val="20"/>
          <w:lang w:val="en-GB"/>
        </w:rPr>
        <w:t>and</w:t>
      </w:r>
      <w:r w:rsidR="00F56CF1" w:rsidRPr="005F0767">
        <w:rPr>
          <w:rFonts w:ascii="Arial" w:hAnsi="Arial" w:cs="Arial"/>
          <w:sz w:val="20"/>
          <w:szCs w:val="20"/>
          <w:lang w:val="en-GB"/>
        </w:rPr>
        <w:t xml:space="preserve">  </w:t>
      </w:r>
      <w:r w:rsidR="005F0767">
        <w:rPr>
          <w:rFonts w:ascii="Arial" w:hAnsi="Arial" w:cs="Arial"/>
          <w:sz w:val="20"/>
          <w:szCs w:val="20"/>
          <w:lang w:val="en-GB"/>
        </w:rPr>
        <w:t>“</w:t>
      </w:r>
      <w:r w:rsidR="00A50CEF" w:rsidRPr="005F0767">
        <w:rPr>
          <w:rFonts w:ascii="Arial" w:hAnsi="Arial" w:cs="Arial"/>
          <w:sz w:val="20"/>
          <w:szCs w:val="20"/>
          <w:lang w:val="en-GB"/>
        </w:rPr>
        <w:t>Camping sites</w:t>
      </w:r>
      <w:r w:rsidR="00F56CF1" w:rsidRPr="005F0767">
        <w:rPr>
          <w:rFonts w:ascii="Arial" w:hAnsi="Arial" w:cs="Arial"/>
          <w:sz w:val="20"/>
          <w:szCs w:val="20"/>
          <w:lang w:val="en-GB"/>
        </w:rPr>
        <w:t>“</w:t>
      </w:r>
      <w:r w:rsidR="00A50CEF" w:rsidRPr="005F0767">
        <w:rPr>
          <w:rFonts w:ascii="Arial" w:hAnsi="Arial" w:cs="Arial"/>
          <w:sz w:val="20"/>
          <w:szCs w:val="20"/>
          <w:lang w:val="en-GB"/>
        </w:rPr>
        <w:t xml:space="preserve"> groups</w:t>
      </w:r>
      <w:r w:rsidR="00F56CF1" w:rsidRPr="005F0767">
        <w:rPr>
          <w:rFonts w:ascii="Arial" w:hAnsi="Arial" w:cs="Arial"/>
          <w:sz w:val="20"/>
          <w:szCs w:val="20"/>
          <w:lang w:val="en-GB"/>
        </w:rPr>
        <w:t>.</w:t>
      </w:r>
    </w:p>
    <w:p w14:paraId="6D512729" w14:textId="5FC88CBE" w:rsidR="00B371CC" w:rsidRPr="00DF3C1A" w:rsidRDefault="001643FE" w:rsidP="00DF3C1A">
      <w:pPr>
        <w:spacing w:after="240" w:line="276" w:lineRule="auto"/>
        <w:jc w:val="both"/>
        <w:rPr>
          <w:rFonts w:ascii="Arial" w:hAnsi="Arial" w:cs="Arial"/>
          <w:sz w:val="20"/>
          <w:szCs w:val="20"/>
        </w:rPr>
      </w:pPr>
      <w:r w:rsidRPr="00AA7EF8">
        <w:rPr>
          <w:rFonts w:ascii="Arial" w:hAnsi="Arial" w:cs="Arial"/>
          <w:sz w:val="20"/>
          <w:szCs w:val="20"/>
          <w:lang w:val="en-GB"/>
        </w:rPr>
        <w:t>In accordance with the Technical Guidelines, climate resilience analysis of project/investment is made for two environmental goals</w:t>
      </w:r>
      <w:r w:rsidR="00B371CC" w:rsidRPr="00DF3C1A">
        <w:rPr>
          <w:rFonts w:ascii="Arial" w:hAnsi="Arial" w:cs="Arial"/>
          <w:sz w:val="20"/>
          <w:szCs w:val="20"/>
        </w:rPr>
        <w:t>:</w:t>
      </w:r>
    </w:p>
    <w:p w14:paraId="6FC0EA1A" w14:textId="77777777" w:rsidR="002E1AFF" w:rsidRPr="00AA7EF8" w:rsidRDefault="002E1AFF" w:rsidP="002E1AFF">
      <w:pPr>
        <w:pStyle w:val="Odlomakpopisa"/>
        <w:numPr>
          <w:ilvl w:val="0"/>
          <w:numId w:val="11"/>
        </w:numPr>
        <w:spacing w:after="240" w:line="276" w:lineRule="auto"/>
        <w:jc w:val="both"/>
        <w:rPr>
          <w:rFonts w:ascii="Arial" w:hAnsi="Arial" w:cs="Arial"/>
          <w:b/>
          <w:bCs/>
          <w:sz w:val="20"/>
          <w:szCs w:val="20"/>
          <w:lang w:val="en-GB"/>
        </w:rPr>
      </w:pPr>
      <w:r w:rsidRPr="00AA7EF8">
        <w:rPr>
          <w:rFonts w:ascii="Arial" w:hAnsi="Arial" w:cs="Arial"/>
          <w:b/>
          <w:bCs/>
          <w:sz w:val="20"/>
          <w:szCs w:val="20"/>
          <w:lang w:val="en-GB"/>
        </w:rPr>
        <w:t>Neutrality of project/investment in terms of climate change mitigation environmental goal, and</w:t>
      </w:r>
    </w:p>
    <w:p w14:paraId="56E1CF25" w14:textId="77777777" w:rsidR="002E1AFF" w:rsidRPr="00AA7EF8" w:rsidRDefault="002E1AFF" w:rsidP="002E1AFF">
      <w:pPr>
        <w:pStyle w:val="Odlomakpopisa"/>
        <w:numPr>
          <w:ilvl w:val="0"/>
          <w:numId w:val="11"/>
        </w:numPr>
        <w:spacing w:after="240" w:line="276" w:lineRule="auto"/>
        <w:jc w:val="both"/>
        <w:rPr>
          <w:rFonts w:ascii="Arial" w:hAnsi="Arial" w:cs="Arial"/>
          <w:b/>
          <w:bCs/>
          <w:sz w:val="20"/>
          <w:szCs w:val="20"/>
          <w:lang w:val="en-GB"/>
        </w:rPr>
      </w:pPr>
      <w:r w:rsidRPr="00AA7EF8">
        <w:rPr>
          <w:rFonts w:ascii="Arial" w:hAnsi="Arial" w:cs="Arial"/>
          <w:b/>
          <w:bCs/>
          <w:sz w:val="20"/>
          <w:szCs w:val="20"/>
          <w:lang w:val="en-GB"/>
        </w:rPr>
        <w:t>Resilience of project/investment in terms of climate change adaptation environmental goal</w:t>
      </w:r>
    </w:p>
    <w:p w14:paraId="3DFBFEEC" w14:textId="44F33C3C" w:rsidR="00163192" w:rsidRPr="00DF3C1A" w:rsidRDefault="008D75A6" w:rsidP="00DF3C1A">
      <w:pPr>
        <w:spacing w:after="240" w:line="276" w:lineRule="auto"/>
        <w:jc w:val="both"/>
        <w:rPr>
          <w:rFonts w:ascii="Arial" w:hAnsi="Arial" w:cs="Arial"/>
          <w:sz w:val="20"/>
          <w:szCs w:val="20"/>
        </w:rPr>
      </w:pPr>
      <w:r w:rsidRPr="00AA7EF8">
        <w:rPr>
          <w:rFonts w:ascii="Arial" w:hAnsi="Arial" w:cs="Arial"/>
          <w:sz w:val="20"/>
          <w:szCs w:val="20"/>
          <w:lang w:val="en-GB"/>
        </w:rPr>
        <w:t>For all projects/investments for which Environmental Impact Assessment Necessity Screening and/or Environmental Impact Assessment (EIA) are/is required in accordance with the Environmental Protection Act (Official Gazette of the Republic of Croatia, Nos.: 80/13, 153/13, 78/15, 12/18 and 118/18) and the Environmental Impact Assessment Regulation (Official Gazette of the Republic of Croatia, Nos.: 61/ 14 and 3/17), it is necessary to prepare</w:t>
      </w:r>
      <w:r w:rsidR="00163192" w:rsidRPr="00DF3C1A">
        <w:rPr>
          <w:rFonts w:ascii="Arial" w:hAnsi="Arial" w:cs="Arial"/>
          <w:sz w:val="20"/>
          <w:szCs w:val="20"/>
        </w:rPr>
        <w:t>:</w:t>
      </w:r>
    </w:p>
    <w:p w14:paraId="1EB75279" w14:textId="77777777" w:rsidR="00703437" w:rsidRPr="00AA7EF8" w:rsidRDefault="00703437" w:rsidP="00703437">
      <w:pPr>
        <w:pStyle w:val="Odlomakpopisa"/>
        <w:numPr>
          <w:ilvl w:val="0"/>
          <w:numId w:val="12"/>
        </w:numPr>
        <w:spacing w:after="240" w:line="276" w:lineRule="auto"/>
        <w:jc w:val="both"/>
        <w:rPr>
          <w:rFonts w:ascii="Arial" w:hAnsi="Arial" w:cs="Arial"/>
          <w:b/>
          <w:bCs/>
          <w:sz w:val="20"/>
          <w:szCs w:val="20"/>
          <w:lang w:val="en-GB"/>
        </w:rPr>
      </w:pPr>
      <w:r w:rsidRPr="00AA7EF8">
        <w:rPr>
          <w:rFonts w:ascii="Arial" w:hAnsi="Arial" w:cs="Arial"/>
          <w:b/>
          <w:bCs/>
          <w:sz w:val="20"/>
          <w:szCs w:val="20"/>
          <w:lang w:val="en-GB"/>
        </w:rPr>
        <w:t>Environmental Protection Study (Study) and/or</w:t>
      </w:r>
    </w:p>
    <w:p w14:paraId="5A9BC8CC" w14:textId="79E39B89" w:rsidR="00163192" w:rsidRPr="005065E8" w:rsidRDefault="00703437" w:rsidP="00703437">
      <w:pPr>
        <w:pStyle w:val="Odlomakpopisa"/>
        <w:numPr>
          <w:ilvl w:val="0"/>
          <w:numId w:val="12"/>
        </w:numPr>
        <w:spacing w:after="240" w:line="276" w:lineRule="auto"/>
        <w:jc w:val="both"/>
        <w:rPr>
          <w:rFonts w:ascii="Arial" w:hAnsi="Arial" w:cs="Arial"/>
          <w:b/>
          <w:bCs/>
          <w:sz w:val="20"/>
          <w:szCs w:val="20"/>
        </w:rPr>
      </w:pPr>
      <w:r w:rsidRPr="00AA7EF8">
        <w:rPr>
          <w:rFonts w:ascii="Arial" w:hAnsi="Arial" w:cs="Arial"/>
          <w:b/>
          <w:bCs/>
          <w:sz w:val="20"/>
          <w:szCs w:val="20"/>
          <w:lang w:val="en-GB"/>
        </w:rPr>
        <w:t>Environmental Impact Assessment and Non-Technical Summary (EIA</w:t>
      </w:r>
      <w:r w:rsidR="00222B02" w:rsidRPr="005065E8">
        <w:rPr>
          <w:rFonts w:ascii="Arial" w:hAnsi="Arial" w:cs="Arial"/>
          <w:b/>
          <w:bCs/>
          <w:sz w:val="20"/>
          <w:szCs w:val="20"/>
        </w:rPr>
        <w:t>)</w:t>
      </w:r>
    </w:p>
    <w:p w14:paraId="055975D5" w14:textId="006656BF" w:rsidR="00684D4B" w:rsidRPr="00DF3C1A" w:rsidRDefault="006A110E" w:rsidP="00DF3C1A">
      <w:pPr>
        <w:spacing w:after="240" w:line="276" w:lineRule="auto"/>
        <w:jc w:val="both"/>
        <w:rPr>
          <w:rFonts w:ascii="Arial" w:hAnsi="Arial" w:cs="Arial"/>
          <w:sz w:val="20"/>
          <w:szCs w:val="20"/>
        </w:rPr>
      </w:pPr>
      <w:r w:rsidRPr="00AA7EF8">
        <w:rPr>
          <w:rFonts w:ascii="Arial" w:hAnsi="Arial" w:cs="Arial"/>
          <w:sz w:val="20"/>
          <w:szCs w:val="20"/>
          <w:lang w:val="en-GB"/>
        </w:rPr>
        <w:t xml:space="preserve">The fact that proving the sustainability of project/investment in terms of mitigation and adaptation to climate change is embedded in planned investment under this FI should be clearly proven with a link to the name of the Study/Assessment and to the </w:t>
      </w:r>
      <w:r>
        <w:rPr>
          <w:rFonts w:ascii="Arial" w:hAnsi="Arial" w:cs="Arial"/>
          <w:sz w:val="20"/>
          <w:szCs w:val="20"/>
          <w:lang w:val="en-GB"/>
        </w:rPr>
        <w:t>page</w:t>
      </w:r>
      <w:r w:rsidRPr="00AA7EF8">
        <w:rPr>
          <w:rFonts w:ascii="Arial" w:hAnsi="Arial" w:cs="Arial"/>
          <w:sz w:val="20"/>
          <w:szCs w:val="20"/>
          <w:lang w:val="en-GB"/>
        </w:rPr>
        <w:t xml:space="preserve"> of the Study/Assessment proving the sustainability of project/investment in terms of both environmental goals (climate change mitigation and adaptation</w:t>
      </w:r>
      <w:r w:rsidR="00684D4B" w:rsidRPr="00684D4B">
        <w:rPr>
          <w:rFonts w:ascii="Arial" w:hAnsi="Arial" w:cs="Arial"/>
          <w:sz w:val="20"/>
          <w:szCs w:val="20"/>
        </w:rPr>
        <w:t>).</w:t>
      </w:r>
    </w:p>
    <w:p w14:paraId="25D9657C" w14:textId="6A35E4E3" w:rsidR="00116C15" w:rsidRDefault="004821A9" w:rsidP="00DF3C1A">
      <w:pPr>
        <w:spacing w:after="240" w:line="276" w:lineRule="auto"/>
        <w:jc w:val="both"/>
        <w:rPr>
          <w:rFonts w:ascii="Arial" w:hAnsi="Arial" w:cs="Arial"/>
          <w:sz w:val="20"/>
          <w:szCs w:val="20"/>
        </w:rPr>
      </w:pPr>
      <w:r w:rsidRPr="00AA7EF8">
        <w:rPr>
          <w:rFonts w:ascii="Arial" w:hAnsi="Arial" w:cs="Arial"/>
          <w:sz w:val="20"/>
          <w:szCs w:val="20"/>
          <w:lang w:val="en-GB"/>
        </w:rPr>
        <w:lastRenderedPageBreak/>
        <w:t>For all projects/investments, for which sustainability in terms of climate change mitigation and adaptation has previously been proven through the Study/Assessment, it is not necessary to separately prove the DNSH principle in the Main Design for those two environmental goals of climate change mitigation and adaptation</w:t>
      </w:r>
      <w:r w:rsidR="0070645D" w:rsidRPr="00DF3C1A">
        <w:rPr>
          <w:rFonts w:ascii="Arial" w:hAnsi="Arial" w:cs="Arial"/>
          <w:sz w:val="20"/>
          <w:szCs w:val="20"/>
        </w:rPr>
        <w:t>.</w:t>
      </w:r>
    </w:p>
    <w:p w14:paraId="767CA0E8" w14:textId="78126764" w:rsidR="0098324F" w:rsidRDefault="00E23D5D" w:rsidP="00DF3C1A">
      <w:pPr>
        <w:spacing w:after="240" w:line="276" w:lineRule="auto"/>
        <w:jc w:val="both"/>
        <w:rPr>
          <w:rFonts w:ascii="Arial" w:hAnsi="Arial" w:cs="Arial"/>
          <w:sz w:val="20"/>
          <w:szCs w:val="20"/>
        </w:rPr>
      </w:pPr>
      <w:r w:rsidRPr="00AA7EF8">
        <w:rPr>
          <w:rFonts w:ascii="Arial" w:hAnsi="Arial" w:cs="Arial"/>
          <w:sz w:val="20"/>
          <w:szCs w:val="20"/>
          <w:lang w:val="en-GB"/>
        </w:rPr>
        <w:t xml:space="preserve">For all projects/investments for which Environmental Impact Assessment Necessity Screening and/or Environmental Impact Assessment (EIA) are/is </w:t>
      </w:r>
      <w:r w:rsidRPr="00AA7EF8">
        <w:rPr>
          <w:rFonts w:ascii="Arial" w:hAnsi="Arial" w:cs="Arial"/>
          <w:b/>
          <w:bCs/>
          <w:sz w:val="20"/>
          <w:szCs w:val="20"/>
          <w:lang w:val="en-GB"/>
        </w:rPr>
        <w:t>not</w:t>
      </w:r>
      <w:r w:rsidRPr="00AA7EF8">
        <w:rPr>
          <w:rFonts w:ascii="Arial" w:hAnsi="Arial" w:cs="Arial"/>
          <w:sz w:val="20"/>
          <w:szCs w:val="20"/>
          <w:lang w:val="en-GB"/>
        </w:rPr>
        <w:t xml:space="preserve"> required in accordance with the Environmental Protection Act (Official Gazette of the Republic of Croatia, Nos.: 80/13, 153/13, 78/15, 12/18 and 118/18) and the Environmental Impact Assessment Regulation (Official Gazette of the Republic of Croatia, Nos.: 61/ 14 and 3/17), it is necessary to state as follows</w:t>
      </w:r>
      <w:r w:rsidR="0098324F">
        <w:rPr>
          <w:rFonts w:ascii="Arial" w:hAnsi="Arial" w:cs="Arial"/>
          <w:sz w:val="20"/>
          <w:szCs w:val="20"/>
        </w:rPr>
        <w:t>:</w:t>
      </w:r>
    </w:p>
    <w:p w14:paraId="5218F444" w14:textId="38C235D2" w:rsidR="0098324F" w:rsidRPr="005065E8" w:rsidRDefault="0098324F" w:rsidP="0098324F">
      <w:pPr>
        <w:spacing w:after="240" w:line="276" w:lineRule="auto"/>
        <w:jc w:val="both"/>
        <w:rPr>
          <w:rFonts w:ascii="Arial" w:hAnsi="Arial" w:cs="Arial"/>
          <w:sz w:val="20"/>
          <w:szCs w:val="20"/>
        </w:rPr>
      </w:pPr>
      <w:r w:rsidRPr="00DA4708">
        <w:rPr>
          <w:rFonts w:ascii="Arial" w:hAnsi="Arial" w:cs="Arial"/>
          <w:sz w:val="20"/>
          <w:szCs w:val="20"/>
        </w:rPr>
        <w:t xml:space="preserve">a) </w:t>
      </w:r>
      <w:r w:rsidR="00293571" w:rsidRPr="00AA7EF8">
        <w:rPr>
          <w:rFonts w:ascii="Arial" w:hAnsi="Arial" w:cs="Arial"/>
          <w:sz w:val="20"/>
          <w:szCs w:val="20"/>
          <w:lang w:val="en-GB"/>
        </w:rPr>
        <w:t xml:space="preserve">The folder name and the </w:t>
      </w:r>
      <w:r w:rsidR="00293571">
        <w:rPr>
          <w:rFonts w:ascii="Arial" w:hAnsi="Arial" w:cs="Arial"/>
          <w:sz w:val="20"/>
          <w:szCs w:val="20"/>
          <w:lang w:val="en-GB"/>
        </w:rPr>
        <w:t>page</w:t>
      </w:r>
      <w:r w:rsidR="00293571" w:rsidRPr="00AA7EF8">
        <w:rPr>
          <w:rFonts w:ascii="Arial" w:hAnsi="Arial" w:cs="Arial"/>
          <w:sz w:val="20"/>
          <w:szCs w:val="20"/>
          <w:lang w:val="en-GB"/>
        </w:rPr>
        <w:t xml:space="preserve"> number of the Main Design proving the introduction of relevant and appropriate measures of adaptation for all identified </w:t>
      </w:r>
      <w:r w:rsidR="00293571" w:rsidRPr="00AA7EF8">
        <w:rPr>
          <w:rFonts w:ascii="Arial" w:hAnsi="Arial" w:cs="Arial"/>
          <w:b/>
          <w:bCs/>
          <w:sz w:val="20"/>
          <w:szCs w:val="20"/>
          <w:lang w:val="en-GB"/>
        </w:rPr>
        <w:t>significant</w:t>
      </w:r>
      <w:r w:rsidR="00293571" w:rsidRPr="00AA7EF8">
        <w:rPr>
          <w:rFonts w:ascii="Arial" w:hAnsi="Arial" w:cs="Arial"/>
          <w:sz w:val="20"/>
          <w:szCs w:val="20"/>
          <w:lang w:val="en-GB"/>
        </w:rPr>
        <w:t xml:space="preserve"> climate risks</w:t>
      </w:r>
      <w:r w:rsidRPr="005065E8">
        <w:rPr>
          <w:rFonts w:ascii="Arial" w:hAnsi="Arial" w:cs="Arial"/>
          <w:sz w:val="20"/>
          <w:szCs w:val="20"/>
        </w:rPr>
        <w:t>.</w:t>
      </w:r>
    </w:p>
    <w:p w14:paraId="1406E234" w14:textId="77777777" w:rsidR="0098324F" w:rsidRPr="00DF3C1A" w:rsidRDefault="0098324F" w:rsidP="00DF3C1A">
      <w:pPr>
        <w:spacing w:after="240" w:line="276" w:lineRule="auto"/>
        <w:jc w:val="both"/>
        <w:rPr>
          <w:rFonts w:ascii="Arial" w:hAnsi="Arial" w:cs="Arial"/>
          <w:sz w:val="20"/>
          <w:szCs w:val="20"/>
        </w:rPr>
      </w:pPr>
    </w:p>
    <w:sectPr w:rsidR="0098324F" w:rsidRPr="00DF3C1A" w:rsidSect="00C510B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41AF" w14:textId="77777777" w:rsidR="00EC5FD4" w:rsidRDefault="00EC5FD4" w:rsidP="00F35B7D">
      <w:pPr>
        <w:spacing w:after="0" w:line="240" w:lineRule="auto"/>
      </w:pPr>
      <w:r>
        <w:separator/>
      </w:r>
    </w:p>
  </w:endnote>
  <w:endnote w:type="continuationSeparator" w:id="0">
    <w:p w14:paraId="3A7A789D" w14:textId="77777777" w:rsidR="00EC5FD4" w:rsidRDefault="00EC5FD4" w:rsidP="00F3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268005"/>
      <w:docPartObj>
        <w:docPartGallery w:val="Page Numbers (Bottom of Page)"/>
        <w:docPartUnique/>
      </w:docPartObj>
    </w:sdtPr>
    <w:sdtEndPr/>
    <w:sdtContent>
      <w:p w14:paraId="0713FA31" w14:textId="76589967" w:rsidR="00DF3C1A" w:rsidRDefault="00DF3C1A">
        <w:pPr>
          <w:pStyle w:val="Podnoje"/>
          <w:jc w:val="right"/>
        </w:pPr>
        <w:r>
          <w:fldChar w:fldCharType="begin"/>
        </w:r>
        <w:r>
          <w:instrText>PAGE   \* MERGEFORMAT</w:instrText>
        </w:r>
        <w:r>
          <w:fldChar w:fldCharType="separate"/>
        </w:r>
        <w:r>
          <w:t>2</w:t>
        </w:r>
        <w:r>
          <w:fldChar w:fldCharType="end"/>
        </w:r>
      </w:p>
    </w:sdtContent>
  </w:sdt>
  <w:p w14:paraId="16D874A2" w14:textId="77777777" w:rsidR="00DF3C1A" w:rsidRDefault="00DF3C1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D623" w14:textId="77777777" w:rsidR="00EC5FD4" w:rsidRDefault="00EC5FD4" w:rsidP="00F35B7D">
      <w:pPr>
        <w:spacing w:after="0" w:line="240" w:lineRule="auto"/>
      </w:pPr>
      <w:r>
        <w:separator/>
      </w:r>
    </w:p>
  </w:footnote>
  <w:footnote w:type="continuationSeparator" w:id="0">
    <w:p w14:paraId="068D4D44" w14:textId="77777777" w:rsidR="00EC5FD4" w:rsidRDefault="00EC5FD4" w:rsidP="00F35B7D">
      <w:pPr>
        <w:spacing w:after="0" w:line="240" w:lineRule="auto"/>
      </w:pPr>
      <w:r>
        <w:continuationSeparator/>
      </w:r>
    </w:p>
  </w:footnote>
  <w:footnote w:id="1">
    <w:p w14:paraId="128D1669" w14:textId="7D08948B" w:rsidR="00FD0297" w:rsidRPr="005065E8" w:rsidRDefault="00FD0297" w:rsidP="00102FCD">
      <w:pPr>
        <w:pStyle w:val="Tekstfusnote"/>
        <w:ind w:right="-141"/>
        <w:jc w:val="both"/>
        <w:rPr>
          <w:rFonts w:ascii="Arial" w:hAnsi="Arial" w:cs="Arial"/>
          <w:sz w:val="16"/>
          <w:szCs w:val="16"/>
        </w:rPr>
      </w:pPr>
      <w:r w:rsidRPr="005065E8">
        <w:rPr>
          <w:rStyle w:val="Referencafusnote"/>
          <w:rFonts w:ascii="Arial" w:hAnsi="Arial" w:cs="Arial"/>
        </w:rPr>
        <w:footnoteRef/>
      </w:r>
      <w:r w:rsidRPr="005065E8">
        <w:rPr>
          <w:rFonts w:ascii="Arial" w:hAnsi="Arial" w:cs="Arial"/>
        </w:rPr>
        <w:t xml:space="preserve"> </w:t>
      </w:r>
      <w:r w:rsidR="00997F5A">
        <w:rPr>
          <w:rFonts w:ascii="Arial" w:hAnsi="Arial" w:cs="Arial"/>
          <w:sz w:val="16"/>
          <w:szCs w:val="16"/>
          <w:lang w:val="en-GB"/>
        </w:rPr>
        <w:t xml:space="preserve">Pursuant to the </w:t>
      </w:r>
      <w:r w:rsidR="00997F5A" w:rsidRPr="00005B29">
        <w:rPr>
          <w:rFonts w:ascii="Arial" w:hAnsi="Arial" w:cs="Arial"/>
          <w:sz w:val="16"/>
          <w:szCs w:val="16"/>
          <w:lang w:val="en-GB"/>
        </w:rPr>
        <w:t>Construction Act, it implies the performance of construction and other works on an existing building affect</w:t>
      </w:r>
      <w:r w:rsidR="00997F5A">
        <w:rPr>
          <w:rFonts w:ascii="Arial" w:hAnsi="Arial" w:cs="Arial"/>
          <w:sz w:val="16"/>
          <w:szCs w:val="16"/>
          <w:lang w:val="en-GB"/>
        </w:rPr>
        <w:t>ing</w:t>
      </w:r>
      <w:r w:rsidR="00997F5A" w:rsidRPr="00005B29">
        <w:rPr>
          <w:rFonts w:ascii="Arial" w:hAnsi="Arial" w:cs="Arial"/>
          <w:sz w:val="16"/>
          <w:szCs w:val="16"/>
          <w:lang w:val="en-GB"/>
        </w:rPr>
        <w:t xml:space="preserve"> the fulfilment of the basic requirements for th</w:t>
      </w:r>
      <w:r w:rsidR="00997F5A">
        <w:rPr>
          <w:rFonts w:ascii="Arial" w:hAnsi="Arial" w:cs="Arial"/>
          <w:sz w:val="16"/>
          <w:szCs w:val="16"/>
          <w:lang w:val="en-GB"/>
        </w:rPr>
        <w:t xml:space="preserve">e respective </w:t>
      </w:r>
      <w:r w:rsidR="00997F5A" w:rsidRPr="00005B29">
        <w:rPr>
          <w:rFonts w:ascii="Arial" w:hAnsi="Arial" w:cs="Arial"/>
          <w:sz w:val="16"/>
          <w:szCs w:val="16"/>
          <w:lang w:val="en-GB"/>
        </w:rPr>
        <w:t>building or chang</w:t>
      </w:r>
      <w:r w:rsidR="00997F5A">
        <w:rPr>
          <w:rFonts w:ascii="Arial" w:hAnsi="Arial" w:cs="Arial"/>
          <w:sz w:val="16"/>
          <w:szCs w:val="16"/>
          <w:lang w:val="en-GB"/>
        </w:rPr>
        <w:t>ing</w:t>
      </w:r>
      <w:r w:rsidR="00997F5A" w:rsidRPr="00005B29">
        <w:rPr>
          <w:rFonts w:ascii="Arial" w:hAnsi="Arial" w:cs="Arial"/>
          <w:sz w:val="16"/>
          <w:szCs w:val="16"/>
          <w:lang w:val="en-GB"/>
        </w:rPr>
        <w:t xml:space="preserve"> the compliance of th</w:t>
      </w:r>
      <w:r w:rsidR="00997F5A">
        <w:rPr>
          <w:rFonts w:ascii="Arial" w:hAnsi="Arial" w:cs="Arial"/>
          <w:sz w:val="16"/>
          <w:szCs w:val="16"/>
          <w:lang w:val="en-GB"/>
        </w:rPr>
        <w:t>e respective</w:t>
      </w:r>
      <w:r w:rsidR="00997F5A" w:rsidRPr="00005B29">
        <w:rPr>
          <w:rFonts w:ascii="Arial" w:hAnsi="Arial" w:cs="Arial"/>
          <w:sz w:val="16"/>
          <w:szCs w:val="16"/>
          <w:lang w:val="en-GB"/>
        </w:rPr>
        <w:t xml:space="preserve"> building with the </w:t>
      </w:r>
      <w:r w:rsidR="00997F5A">
        <w:rPr>
          <w:rFonts w:ascii="Arial" w:hAnsi="Arial" w:cs="Arial"/>
          <w:sz w:val="16"/>
          <w:szCs w:val="16"/>
          <w:lang w:val="en-GB"/>
        </w:rPr>
        <w:t xml:space="preserve">planning </w:t>
      </w:r>
      <w:r w:rsidR="00997F5A" w:rsidRPr="00005B29">
        <w:rPr>
          <w:rFonts w:ascii="Arial" w:hAnsi="Arial" w:cs="Arial"/>
          <w:sz w:val="16"/>
          <w:szCs w:val="16"/>
          <w:lang w:val="en-GB"/>
        </w:rPr>
        <w:t xml:space="preserve">conditions in accordance with which it was built (extension, upgrading, removal of the external part of the building, construction works </w:t>
      </w:r>
      <w:r w:rsidR="00997F5A">
        <w:rPr>
          <w:rFonts w:ascii="Arial" w:hAnsi="Arial" w:cs="Arial"/>
          <w:sz w:val="16"/>
          <w:szCs w:val="16"/>
          <w:lang w:val="en-GB"/>
        </w:rPr>
        <w:t xml:space="preserve">aimed at </w:t>
      </w:r>
      <w:r w:rsidR="00997F5A" w:rsidRPr="00005B29">
        <w:rPr>
          <w:rFonts w:ascii="Arial" w:hAnsi="Arial" w:cs="Arial"/>
          <w:sz w:val="16"/>
          <w:szCs w:val="16"/>
          <w:lang w:val="en-GB"/>
        </w:rPr>
        <w:t xml:space="preserve">changing the purpose of the building or technological process, etc.), </w:t>
      </w:r>
      <w:r w:rsidR="00997F5A">
        <w:rPr>
          <w:rFonts w:ascii="Arial" w:hAnsi="Arial" w:cs="Arial"/>
          <w:sz w:val="16"/>
          <w:szCs w:val="16"/>
          <w:lang w:val="en-GB"/>
        </w:rPr>
        <w:t xml:space="preserve">or </w:t>
      </w:r>
      <w:r w:rsidR="00997F5A" w:rsidRPr="00005B29">
        <w:rPr>
          <w:rFonts w:ascii="Arial" w:hAnsi="Arial" w:cs="Arial"/>
          <w:sz w:val="16"/>
          <w:szCs w:val="16"/>
          <w:lang w:val="en-GB"/>
        </w:rPr>
        <w:t xml:space="preserve">the performance of construction and other works on the ruins of </w:t>
      </w:r>
      <w:r w:rsidR="00997F5A">
        <w:rPr>
          <w:rFonts w:ascii="Arial" w:hAnsi="Arial" w:cs="Arial"/>
          <w:sz w:val="16"/>
          <w:szCs w:val="16"/>
          <w:lang w:val="en-GB"/>
        </w:rPr>
        <w:t>an</w:t>
      </w:r>
      <w:r w:rsidR="00997F5A" w:rsidRPr="00005B29">
        <w:rPr>
          <w:rFonts w:ascii="Arial" w:hAnsi="Arial" w:cs="Arial"/>
          <w:sz w:val="16"/>
          <w:szCs w:val="16"/>
          <w:lang w:val="en-GB"/>
        </w:rPr>
        <w:t xml:space="preserve"> existing building</w:t>
      </w:r>
      <w:r w:rsidR="00997F5A">
        <w:rPr>
          <w:rFonts w:ascii="Arial" w:hAnsi="Arial" w:cs="Arial"/>
          <w:sz w:val="16"/>
          <w:szCs w:val="16"/>
          <w:lang w:val="en-GB"/>
        </w:rPr>
        <w:t>.</w:t>
      </w:r>
    </w:p>
  </w:footnote>
  <w:footnote w:id="2">
    <w:p w14:paraId="3C4E3907" w14:textId="77777777" w:rsidR="00991681" w:rsidRPr="007949C2" w:rsidRDefault="00991681" w:rsidP="00991681">
      <w:pPr>
        <w:pStyle w:val="Tekstfusnote"/>
        <w:jc w:val="both"/>
        <w:rPr>
          <w:rFonts w:ascii="Arial" w:hAnsi="Arial" w:cs="Arial"/>
          <w:i/>
          <w:iCs/>
          <w:sz w:val="16"/>
          <w:szCs w:val="16"/>
          <w:lang w:val="en-GB"/>
        </w:rPr>
      </w:pPr>
      <w:r w:rsidRPr="007949C2">
        <w:rPr>
          <w:rStyle w:val="Referencafusnote"/>
          <w:rFonts w:ascii="Arial" w:hAnsi="Arial" w:cs="Arial"/>
          <w:sz w:val="16"/>
          <w:szCs w:val="16"/>
          <w:lang w:val="en-GB"/>
        </w:rPr>
        <w:footnoteRef/>
      </w:r>
      <w:r w:rsidRPr="007949C2">
        <w:rPr>
          <w:rFonts w:ascii="Arial" w:hAnsi="Arial" w:cs="Arial"/>
          <w:sz w:val="16"/>
          <w:szCs w:val="16"/>
          <w:lang w:val="en-GB"/>
        </w:rPr>
        <w:t xml:space="preserve"> The Main Design o</w:t>
      </w:r>
      <w:r>
        <w:rPr>
          <w:rFonts w:ascii="Arial" w:hAnsi="Arial" w:cs="Arial"/>
          <w:sz w:val="16"/>
          <w:szCs w:val="16"/>
          <w:lang w:val="en-GB"/>
        </w:rPr>
        <w:t>f</w:t>
      </w:r>
      <w:r w:rsidRPr="00522936">
        <w:rPr>
          <w:rFonts w:ascii="Arial" w:hAnsi="Arial" w:cs="Arial"/>
          <w:sz w:val="16"/>
          <w:szCs w:val="16"/>
          <w:lang w:val="en-GB"/>
        </w:rPr>
        <w:t xml:space="preserve"> th</w:t>
      </w:r>
      <w:r>
        <w:rPr>
          <w:rFonts w:ascii="Arial" w:hAnsi="Arial" w:cs="Arial"/>
          <w:sz w:val="16"/>
          <w:szCs w:val="16"/>
          <w:lang w:val="en-GB"/>
        </w:rPr>
        <w:t>e</w:t>
      </w:r>
      <w:r w:rsidRPr="00522936">
        <w:rPr>
          <w:rFonts w:ascii="Arial" w:hAnsi="Arial" w:cs="Arial"/>
          <w:sz w:val="16"/>
          <w:szCs w:val="16"/>
          <w:lang w:val="en-GB"/>
        </w:rPr>
        <w:t xml:space="preserve"> FI</w:t>
      </w:r>
      <w:r>
        <w:rPr>
          <w:rFonts w:ascii="Arial" w:hAnsi="Arial" w:cs="Arial"/>
          <w:sz w:val="16"/>
          <w:szCs w:val="16"/>
          <w:lang w:val="en-GB"/>
        </w:rPr>
        <w:t xml:space="preserve"> implies </w:t>
      </w:r>
      <w:r w:rsidRPr="00522936">
        <w:rPr>
          <w:rFonts w:ascii="Arial" w:hAnsi="Arial" w:cs="Arial"/>
          <w:sz w:val="16"/>
          <w:szCs w:val="16"/>
          <w:lang w:val="en-GB"/>
        </w:rPr>
        <w:t xml:space="preserve">the definition and context of the Main </w:t>
      </w:r>
      <w:r>
        <w:rPr>
          <w:rFonts w:ascii="Arial" w:hAnsi="Arial" w:cs="Arial"/>
          <w:sz w:val="16"/>
          <w:szCs w:val="16"/>
          <w:lang w:val="en-GB"/>
        </w:rPr>
        <w:t xml:space="preserve">Design contained in the </w:t>
      </w:r>
      <w:r w:rsidRPr="00522936">
        <w:rPr>
          <w:rFonts w:ascii="Arial" w:hAnsi="Arial" w:cs="Arial"/>
          <w:sz w:val="16"/>
          <w:szCs w:val="16"/>
          <w:lang w:val="en-GB"/>
        </w:rPr>
        <w:t xml:space="preserve">Construction Act </w:t>
      </w:r>
      <w:r>
        <w:rPr>
          <w:rFonts w:ascii="Arial" w:hAnsi="Arial" w:cs="Arial"/>
          <w:sz w:val="16"/>
          <w:szCs w:val="16"/>
          <w:lang w:val="en-GB"/>
        </w:rPr>
        <w:t xml:space="preserve">in effect </w:t>
      </w:r>
      <w:r w:rsidRPr="00522936">
        <w:rPr>
          <w:rFonts w:ascii="Arial" w:hAnsi="Arial" w:cs="Arial"/>
          <w:sz w:val="16"/>
          <w:szCs w:val="16"/>
          <w:lang w:val="en-GB"/>
        </w:rPr>
        <w:t>(Official Gazette</w:t>
      </w:r>
      <w:r>
        <w:rPr>
          <w:rFonts w:ascii="Arial" w:hAnsi="Arial" w:cs="Arial"/>
          <w:sz w:val="16"/>
          <w:szCs w:val="16"/>
          <w:lang w:val="en-GB"/>
        </w:rPr>
        <w:t xml:space="preserve"> of the Republic of Croatia, Nos.</w:t>
      </w:r>
      <w:r w:rsidRPr="00522936">
        <w:rPr>
          <w:rFonts w:ascii="Arial" w:hAnsi="Arial" w:cs="Arial"/>
          <w:sz w:val="16"/>
          <w:szCs w:val="16"/>
          <w:lang w:val="en-GB"/>
        </w:rPr>
        <w:t>: 153/13, 20/17, 39/19, 125/19</w:t>
      </w:r>
      <w:r>
        <w:rPr>
          <w:rFonts w:ascii="Arial" w:hAnsi="Arial" w:cs="Arial"/>
          <w:sz w:val="16"/>
          <w:szCs w:val="16"/>
          <w:lang w:val="en-GB"/>
        </w:rPr>
        <w:t xml:space="preserve"> together with </w:t>
      </w:r>
      <w:r w:rsidRPr="00522936">
        <w:rPr>
          <w:rFonts w:ascii="Arial" w:hAnsi="Arial" w:cs="Arial"/>
          <w:sz w:val="16"/>
          <w:szCs w:val="16"/>
          <w:lang w:val="en-GB"/>
        </w:rPr>
        <w:t xml:space="preserve">all subsequent amendments) as well as </w:t>
      </w:r>
      <w:r>
        <w:rPr>
          <w:rFonts w:ascii="Arial" w:hAnsi="Arial" w:cs="Arial"/>
          <w:sz w:val="16"/>
          <w:szCs w:val="16"/>
          <w:lang w:val="en-GB"/>
        </w:rPr>
        <w:t xml:space="preserve">the </w:t>
      </w:r>
      <w:r w:rsidRPr="00522936">
        <w:rPr>
          <w:rFonts w:ascii="Arial" w:hAnsi="Arial" w:cs="Arial"/>
          <w:sz w:val="16"/>
          <w:szCs w:val="16"/>
          <w:lang w:val="en-GB"/>
        </w:rPr>
        <w:t xml:space="preserve">definition and context of the Main </w:t>
      </w:r>
      <w:r>
        <w:rPr>
          <w:rFonts w:ascii="Arial" w:hAnsi="Arial" w:cs="Arial"/>
          <w:sz w:val="16"/>
          <w:szCs w:val="16"/>
          <w:lang w:val="en-GB"/>
        </w:rPr>
        <w:t xml:space="preserve">Design contained in </w:t>
      </w:r>
      <w:r w:rsidRPr="00522936">
        <w:rPr>
          <w:rFonts w:ascii="Arial" w:hAnsi="Arial" w:cs="Arial"/>
          <w:sz w:val="16"/>
          <w:szCs w:val="16"/>
          <w:lang w:val="en-GB"/>
        </w:rPr>
        <w:t xml:space="preserve">the Ordinance on </w:t>
      </w:r>
      <w:r>
        <w:rPr>
          <w:rFonts w:ascii="Arial" w:hAnsi="Arial" w:cs="Arial"/>
          <w:sz w:val="16"/>
          <w:szCs w:val="16"/>
          <w:lang w:val="en-GB"/>
        </w:rPr>
        <w:t>S</w:t>
      </w:r>
      <w:r w:rsidRPr="00522936">
        <w:rPr>
          <w:rFonts w:ascii="Arial" w:hAnsi="Arial" w:cs="Arial"/>
          <w:sz w:val="16"/>
          <w:szCs w:val="16"/>
          <w:lang w:val="en-GB"/>
        </w:rPr>
        <w:t xml:space="preserve">imple and other </w:t>
      </w:r>
      <w:r>
        <w:rPr>
          <w:rFonts w:ascii="Arial" w:hAnsi="Arial" w:cs="Arial"/>
          <w:sz w:val="16"/>
          <w:szCs w:val="16"/>
          <w:lang w:val="en-GB"/>
        </w:rPr>
        <w:t>B</w:t>
      </w:r>
      <w:r w:rsidRPr="00522936">
        <w:rPr>
          <w:rFonts w:ascii="Arial" w:hAnsi="Arial" w:cs="Arial"/>
          <w:sz w:val="16"/>
          <w:szCs w:val="16"/>
          <w:lang w:val="en-GB"/>
        </w:rPr>
        <w:t xml:space="preserve">uildings and </w:t>
      </w:r>
      <w:r>
        <w:rPr>
          <w:rFonts w:ascii="Arial" w:hAnsi="Arial" w:cs="Arial"/>
          <w:sz w:val="16"/>
          <w:szCs w:val="16"/>
          <w:lang w:val="en-GB"/>
        </w:rPr>
        <w:t>W</w:t>
      </w:r>
      <w:r w:rsidRPr="00522936">
        <w:rPr>
          <w:rFonts w:ascii="Arial" w:hAnsi="Arial" w:cs="Arial"/>
          <w:sz w:val="16"/>
          <w:szCs w:val="16"/>
          <w:lang w:val="en-GB"/>
        </w:rPr>
        <w:t>orks</w:t>
      </w:r>
      <w:r>
        <w:rPr>
          <w:rFonts w:ascii="Arial" w:hAnsi="Arial" w:cs="Arial"/>
          <w:sz w:val="16"/>
          <w:szCs w:val="16"/>
          <w:lang w:val="en-GB"/>
        </w:rPr>
        <w:t xml:space="preserve"> in effect</w:t>
      </w:r>
      <w:r w:rsidRPr="00522936">
        <w:rPr>
          <w:rFonts w:ascii="Arial" w:hAnsi="Arial" w:cs="Arial"/>
          <w:sz w:val="16"/>
          <w:szCs w:val="16"/>
          <w:lang w:val="en-GB"/>
        </w:rPr>
        <w:t xml:space="preserve"> (Official Gazette</w:t>
      </w:r>
      <w:r>
        <w:rPr>
          <w:rFonts w:ascii="Arial" w:hAnsi="Arial" w:cs="Arial"/>
          <w:sz w:val="16"/>
          <w:szCs w:val="16"/>
          <w:lang w:val="en-GB"/>
        </w:rPr>
        <w:t xml:space="preserve"> of the Republic of Croatia, Nos.</w:t>
      </w:r>
      <w:r w:rsidRPr="00522936">
        <w:rPr>
          <w:rFonts w:ascii="Arial" w:hAnsi="Arial" w:cs="Arial"/>
          <w:sz w:val="16"/>
          <w:szCs w:val="16"/>
          <w:lang w:val="en-GB"/>
        </w:rPr>
        <w:t xml:space="preserve">: 112/17, 34/18, 36/19, 98/19, 31/20, 74/22 </w:t>
      </w:r>
      <w:r>
        <w:rPr>
          <w:rFonts w:ascii="Arial" w:hAnsi="Arial" w:cs="Arial"/>
          <w:sz w:val="16"/>
          <w:szCs w:val="16"/>
          <w:lang w:val="en-GB"/>
        </w:rPr>
        <w:t>,</w:t>
      </w:r>
      <w:r w:rsidRPr="00522936">
        <w:rPr>
          <w:rFonts w:ascii="Arial" w:hAnsi="Arial" w:cs="Arial"/>
          <w:sz w:val="16"/>
          <w:szCs w:val="16"/>
          <w:lang w:val="en-GB"/>
        </w:rPr>
        <w:t>155/23</w:t>
      </w:r>
      <w:r>
        <w:rPr>
          <w:rFonts w:ascii="Arial" w:hAnsi="Arial" w:cs="Arial"/>
          <w:sz w:val="16"/>
          <w:szCs w:val="16"/>
          <w:lang w:val="en-GB"/>
        </w:rPr>
        <w:t xml:space="preserve"> together with </w:t>
      </w:r>
      <w:r w:rsidRPr="00522936">
        <w:rPr>
          <w:rFonts w:ascii="Arial" w:hAnsi="Arial" w:cs="Arial"/>
          <w:sz w:val="16"/>
          <w:szCs w:val="16"/>
          <w:lang w:val="en-GB"/>
        </w:rPr>
        <w:t>all subsequent amendments</w:t>
      </w:r>
      <w:r w:rsidRPr="007949C2">
        <w:rPr>
          <w:rFonts w:ascii="Arial" w:hAnsi="Arial" w:cs="Arial"/>
          <w:sz w:val="16"/>
          <w:szCs w:val="16"/>
          <w:lang w:val="en-GB"/>
        </w:rPr>
        <w:t>)</w:t>
      </w:r>
      <w:r>
        <w:rPr>
          <w:rFonts w:ascii="Arial" w:hAnsi="Arial" w:cs="Arial"/>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A605" w14:textId="65E4645F" w:rsidR="00F521CA" w:rsidRPr="004D5794" w:rsidRDefault="00575D6E" w:rsidP="004D5794">
    <w:pPr>
      <w:pStyle w:val="Zaglavlje"/>
      <w:jc w:val="right"/>
      <w:rPr>
        <w:rFonts w:ascii="Arial" w:hAnsi="Arial" w:cs="Arial"/>
        <w:sz w:val="20"/>
        <w:szCs w:val="20"/>
      </w:rPr>
    </w:pPr>
    <w:r>
      <w:rPr>
        <w:rFonts w:ascii="Arial" w:hAnsi="Arial" w:cs="Arial"/>
        <w:sz w:val="20"/>
        <w:szCs w:val="20"/>
      </w:rPr>
      <w:t>Sustainable Tourism Loans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262C"/>
    <w:multiLevelType w:val="hybridMultilevel"/>
    <w:tmpl w:val="4BCC5F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C066F4"/>
    <w:multiLevelType w:val="hybridMultilevel"/>
    <w:tmpl w:val="E9F2A8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70474D"/>
    <w:multiLevelType w:val="hybridMultilevel"/>
    <w:tmpl w:val="8BAA85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4033485"/>
    <w:multiLevelType w:val="hybridMultilevel"/>
    <w:tmpl w:val="00F4E8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95721E0"/>
    <w:multiLevelType w:val="hybridMultilevel"/>
    <w:tmpl w:val="8146DE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FBE54D8"/>
    <w:multiLevelType w:val="hybridMultilevel"/>
    <w:tmpl w:val="389E87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7FA32E0"/>
    <w:multiLevelType w:val="hybridMultilevel"/>
    <w:tmpl w:val="FAE00E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41115C4"/>
    <w:multiLevelType w:val="hybridMultilevel"/>
    <w:tmpl w:val="2B3016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592961"/>
    <w:multiLevelType w:val="hybridMultilevel"/>
    <w:tmpl w:val="DC02D72E"/>
    <w:lvl w:ilvl="0" w:tplc="073CFC18">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BE96ABB"/>
    <w:multiLevelType w:val="hybridMultilevel"/>
    <w:tmpl w:val="F72E2C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0BF6501"/>
    <w:multiLevelType w:val="hybridMultilevel"/>
    <w:tmpl w:val="F836B63A"/>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EC74473"/>
    <w:multiLevelType w:val="hybridMultilevel"/>
    <w:tmpl w:val="5D700B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0857916"/>
    <w:multiLevelType w:val="hybridMultilevel"/>
    <w:tmpl w:val="7D464C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A5A2E45"/>
    <w:multiLevelType w:val="hybridMultilevel"/>
    <w:tmpl w:val="8416D8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64156221">
    <w:abstractNumId w:val="1"/>
  </w:num>
  <w:num w:numId="2" w16cid:durableId="84696878">
    <w:abstractNumId w:val="12"/>
  </w:num>
  <w:num w:numId="3" w16cid:durableId="809517556">
    <w:abstractNumId w:val="2"/>
  </w:num>
  <w:num w:numId="4" w16cid:durableId="874191920">
    <w:abstractNumId w:val="0"/>
  </w:num>
  <w:num w:numId="5" w16cid:durableId="377242482">
    <w:abstractNumId w:val="6"/>
  </w:num>
  <w:num w:numId="6" w16cid:durableId="2141267366">
    <w:abstractNumId w:val="8"/>
  </w:num>
  <w:num w:numId="7" w16cid:durableId="719135929">
    <w:abstractNumId w:val="10"/>
  </w:num>
  <w:num w:numId="8" w16cid:durableId="117065341">
    <w:abstractNumId w:val="11"/>
  </w:num>
  <w:num w:numId="9" w16cid:durableId="432435688">
    <w:abstractNumId w:val="5"/>
  </w:num>
  <w:num w:numId="10" w16cid:durableId="1932081548">
    <w:abstractNumId w:val="9"/>
  </w:num>
  <w:num w:numId="11" w16cid:durableId="2007829058">
    <w:abstractNumId w:val="4"/>
  </w:num>
  <w:num w:numId="12" w16cid:durableId="54478246">
    <w:abstractNumId w:val="3"/>
  </w:num>
  <w:num w:numId="13" w16cid:durableId="1399936068">
    <w:abstractNumId w:val="13"/>
  </w:num>
  <w:num w:numId="14" w16cid:durableId="1687322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A1E"/>
    <w:rsid w:val="00020F32"/>
    <w:rsid w:val="00021E2F"/>
    <w:rsid w:val="00022C06"/>
    <w:rsid w:val="000319FB"/>
    <w:rsid w:val="00032B8A"/>
    <w:rsid w:val="000352E3"/>
    <w:rsid w:val="00035F98"/>
    <w:rsid w:val="00036448"/>
    <w:rsid w:val="000435DD"/>
    <w:rsid w:val="0005514C"/>
    <w:rsid w:val="00055A79"/>
    <w:rsid w:val="0006373E"/>
    <w:rsid w:val="0006426D"/>
    <w:rsid w:val="00065871"/>
    <w:rsid w:val="00074580"/>
    <w:rsid w:val="000851F2"/>
    <w:rsid w:val="0009129D"/>
    <w:rsid w:val="00092863"/>
    <w:rsid w:val="000A47E8"/>
    <w:rsid w:val="000B7213"/>
    <w:rsid w:val="000C11D8"/>
    <w:rsid w:val="000C741B"/>
    <w:rsid w:val="000D6743"/>
    <w:rsid w:val="000D77ED"/>
    <w:rsid w:val="000E14BE"/>
    <w:rsid w:val="000F7CE8"/>
    <w:rsid w:val="00101DD8"/>
    <w:rsid w:val="00102FCD"/>
    <w:rsid w:val="001056AF"/>
    <w:rsid w:val="001077F6"/>
    <w:rsid w:val="00111844"/>
    <w:rsid w:val="00114501"/>
    <w:rsid w:val="001146C8"/>
    <w:rsid w:val="00116C15"/>
    <w:rsid w:val="00117958"/>
    <w:rsid w:val="00121D74"/>
    <w:rsid w:val="00130225"/>
    <w:rsid w:val="00152E20"/>
    <w:rsid w:val="00153A8C"/>
    <w:rsid w:val="00163192"/>
    <w:rsid w:val="00163D93"/>
    <w:rsid w:val="001643FE"/>
    <w:rsid w:val="00170F8B"/>
    <w:rsid w:val="0017172C"/>
    <w:rsid w:val="00182B1E"/>
    <w:rsid w:val="001970AC"/>
    <w:rsid w:val="001A0AB9"/>
    <w:rsid w:val="001A5C5B"/>
    <w:rsid w:val="001A7815"/>
    <w:rsid w:val="001B5F49"/>
    <w:rsid w:val="001D6FAD"/>
    <w:rsid w:val="001D74FB"/>
    <w:rsid w:val="001F6A1F"/>
    <w:rsid w:val="001F6EC1"/>
    <w:rsid w:val="002142E8"/>
    <w:rsid w:val="00214C7E"/>
    <w:rsid w:val="0021558B"/>
    <w:rsid w:val="00215E11"/>
    <w:rsid w:val="00221DF6"/>
    <w:rsid w:val="00222B02"/>
    <w:rsid w:val="00223792"/>
    <w:rsid w:val="00230B75"/>
    <w:rsid w:val="00234A1B"/>
    <w:rsid w:val="00236CC2"/>
    <w:rsid w:val="002408CD"/>
    <w:rsid w:val="002455B1"/>
    <w:rsid w:val="002578C2"/>
    <w:rsid w:val="0026103B"/>
    <w:rsid w:val="002656C8"/>
    <w:rsid w:val="0027168E"/>
    <w:rsid w:val="00271721"/>
    <w:rsid w:val="00272F0A"/>
    <w:rsid w:val="002737B8"/>
    <w:rsid w:val="002755F4"/>
    <w:rsid w:val="00276612"/>
    <w:rsid w:val="00277FEA"/>
    <w:rsid w:val="00293571"/>
    <w:rsid w:val="002A21A7"/>
    <w:rsid w:val="002A32BC"/>
    <w:rsid w:val="002C3847"/>
    <w:rsid w:val="002C3ADF"/>
    <w:rsid w:val="002C3E44"/>
    <w:rsid w:val="002E1AFF"/>
    <w:rsid w:val="002F4A03"/>
    <w:rsid w:val="002F4BBD"/>
    <w:rsid w:val="00334A6C"/>
    <w:rsid w:val="00335D5C"/>
    <w:rsid w:val="003545D4"/>
    <w:rsid w:val="00355A8E"/>
    <w:rsid w:val="00356631"/>
    <w:rsid w:val="00357D39"/>
    <w:rsid w:val="00367143"/>
    <w:rsid w:val="00367CAD"/>
    <w:rsid w:val="0037379A"/>
    <w:rsid w:val="00375CB0"/>
    <w:rsid w:val="00393311"/>
    <w:rsid w:val="00396243"/>
    <w:rsid w:val="003A5C00"/>
    <w:rsid w:val="003B18FD"/>
    <w:rsid w:val="003C074C"/>
    <w:rsid w:val="003C7A5B"/>
    <w:rsid w:val="003D6DB0"/>
    <w:rsid w:val="003E076E"/>
    <w:rsid w:val="003E6278"/>
    <w:rsid w:val="003E74D4"/>
    <w:rsid w:val="003E7AAE"/>
    <w:rsid w:val="003F2215"/>
    <w:rsid w:val="0040785B"/>
    <w:rsid w:val="004200F1"/>
    <w:rsid w:val="00425CE5"/>
    <w:rsid w:val="0044476F"/>
    <w:rsid w:val="004468F6"/>
    <w:rsid w:val="0045397F"/>
    <w:rsid w:val="00455EF1"/>
    <w:rsid w:val="00456CA6"/>
    <w:rsid w:val="0047651E"/>
    <w:rsid w:val="00476F61"/>
    <w:rsid w:val="0047723D"/>
    <w:rsid w:val="004821A9"/>
    <w:rsid w:val="0049723D"/>
    <w:rsid w:val="004A72DF"/>
    <w:rsid w:val="004B4B92"/>
    <w:rsid w:val="004C6932"/>
    <w:rsid w:val="004D5794"/>
    <w:rsid w:val="004F177C"/>
    <w:rsid w:val="004F1DF3"/>
    <w:rsid w:val="005065E8"/>
    <w:rsid w:val="005125B9"/>
    <w:rsid w:val="005274A2"/>
    <w:rsid w:val="00543C47"/>
    <w:rsid w:val="005607B3"/>
    <w:rsid w:val="00575D6E"/>
    <w:rsid w:val="00580F15"/>
    <w:rsid w:val="0059225F"/>
    <w:rsid w:val="00593676"/>
    <w:rsid w:val="0059599F"/>
    <w:rsid w:val="005B3A94"/>
    <w:rsid w:val="005B42ED"/>
    <w:rsid w:val="005C5E4E"/>
    <w:rsid w:val="005D172A"/>
    <w:rsid w:val="005E3C61"/>
    <w:rsid w:val="005E6102"/>
    <w:rsid w:val="005F0767"/>
    <w:rsid w:val="005F579F"/>
    <w:rsid w:val="006145B3"/>
    <w:rsid w:val="006236AE"/>
    <w:rsid w:val="00634908"/>
    <w:rsid w:val="00641ADC"/>
    <w:rsid w:val="00660342"/>
    <w:rsid w:val="006604C4"/>
    <w:rsid w:val="00667F03"/>
    <w:rsid w:val="006747C6"/>
    <w:rsid w:val="00684D4B"/>
    <w:rsid w:val="00691D65"/>
    <w:rsid w:val="006971E2"/>
    <w:rsid w:val="006A110E"/>
    <w:rsid w:val="006B3635"/>
    <w:rsid w:val="006C163C"/>
    <w:rsid w:val="006C2EED"/>
    <w:rsid w:val="006D0A6F"/>
    <w:rsid w:val="006D541B"/>
    <w:rsid w:val="006E2DED"/>
    <w:rsid w:val="006E765A"/>
    <w:rsid w:val="006F46FC"/>
    <w:rsid w:val="007011E3"/>
    <w:rsid w:val="00703437"/>
    <w:rsid w:val="0070645D"/>
    <w:rsid w:val="00733B94"/>
    <w:rsid w:val="00734487"/>
    <w:rsid w:val="00744442"/>
    <w:rsid w:val="0074768A"/>
    <w:rsid w:val="00750244"/>
    <w:rsid w:val="00750F8B"/>
    <w:rsid w:val="007555B8"/>
    <w:rsid w:val="007608E6"/>
    <w:rsid w:val="00760EC6"/>
    <w:rsid w:val="00764D6A"/>
    <w:rsid w:val="00771F53"/>
    <w:rsid w:val="00776423"/>
    <w:rsid w:val="0078426E"/>
    <w:rsid w:val="007A5E2F"/>
    <w:rsid w:val="007C51A4"/>
    <w:rsid w:val="007C60F5"/>
    <w:rsid w:val="007D5A14"/>
    <w:rsid w:val="007D604B"/>
    <w:rsid w:val="007E1B66"/>
    <w:rsid w:val="007E3231"/>
    <w:rsid w:val="007F3FEE"/>
    <w:rsid w:val="008006B0"/>
    <w:rsid w:val="008064D1"/>
    <w:rsid w:val="00815E75"/>
    <w:rsid w:val="00860782"/>
    <w:rsid w:val="008865E3"/>
    <w:rsid w:val="008A4C3C"/>
    <w:rsid w:val="008C43D8"/>
    <w:rsid w:val="008D75A6"/>
    <w:rsid w:val="009038A3"/>
    <w:rsid w:val="0090540F"/>
    <w:rsid w:val="009314AB"/>
    <w:rsid w:val="00936FE1"/>
    <w:rsid w:val="00940220"/>
    <w:rsid w:val="009421E4"/>
    <w:rsid w:val="00955E35"/>
    <w:rsid w:val="00961905"/>
    <w:rsid w:val="00962AF6"/>
    <w:rsid w:val="00970485"/>
    <w:rsid w:val="00972FFB"/>
    <w:rsid w:val="00976C0C"/>
    <w:rsid w:val="0098324F"/>
    <w:rsid w:val="00991681"/>
    <w:rsid w:val="00997F5A"/>
    <w:rsid w:val="009A30CE"/>
    <w:rsid w:val="009A4B20"/>
    <w:rsid w:val="009B2134"/>
    <w:rsid w:val="009B7B8B"/>
    <w:rsid w:val="009D166A"/>
    <w:rsid w:val="009D48A6"/>
    <w:rsid w:val="009E0DF5"/>
    <w:rsid w:val="009E2F3F"/>
    <w:rsid w:val="009F1484"/>
    <w:rsid w:val="009F3D25"/>
    <w:rsid w:val="009F587E"/>
    <w:rsid w:val="00A00934"/>
    <w:rsid w:val="00A05412"/>
    <w:rsid w:val="00A07C39"/>
    <w:rsid w:val="00A141A8"/>
    <w:rsid w:val="00A22B7C"/>
    <w:rsid w:val="00A3728F"/>
    <w:rsid w:val="00A416F6"/>
    <w:rsid w:val="00A50722"/>
    <w:rsid w:val="00A50CEF"/>
    <w:rsid w:val="00A52A23"/>
    <w:rsid w:val="00A56A78"/>
    <w:rsid w:val="00A62BD8"/>
    <w:rsid w:val="00A6639C"/>
    <w:rsid w:val="00A80C64"/>
    <w:rsid w:val="00A81240"/>
    <w:rsid w:val="00A84776"/>
    <w:rsid w:val="00A936DD"/>
    <w:rsid w:val="00A95C12"/>
    <w:rsid w:val="00AB18FD"/>
    <w:rsid w:val="00AC42BE"/>
    <w:rsid w:val="00AE5162"/>
    <w:rsid w:val="00AE7893"/>
    <w:rsid w:val="00AF22E9"/>
    <w:rsid w:val="00B12D06"/>
    <w:rsid w:val="00B15506"/>
    <w:rsid w:val="00B32D29"/>
    <w:rsid w:val="00B34136"/>
    <w:rsid w:val="00B371CC"/>
    <w:rsid w:val="00B51C9D"/>
    <w:rsid w:val="00B604E8"/>
    <w:rsid w:val="00B620FC"/>
    <w:rsid w:val="00B73922"/>
    <w:rsid w:val="00B7516B"/>
    <w:rsid w:val="00B775D2"/>
    <w:rsid w:val="00B77B76"/>
    <w:rsid w:val="00B81505"/>
    <w:rsid w:val="00B87275"/>
    <w:rsid w:val="00B93503"/>
    <w:rsid w:val="00BA0DCF"/>
    <w:rsid w:val="00BA10F4"/>
    <w:rsid w:val="00BA5FC8"/>
    <w:rsid w:val="00BC28F7"/>
    <w:rsid w:val="00BC6722"/>
    <w:rsid w:val="00BC7AAA"/>
    <w:rsid w:val="00BD5848"/>
    <w:rsid w:val="00BD631B"/>
    <w:rsid w:val="00BE7D8F"/>
    <w:rsid w:val="00C04CC3"/>
    <w:rsid w:val="00C04D6E"/>
    <w:rsid w:val="00C05003"/>
    <w:rsid w:val="00C16CEC"/>
    <w:rsid w:val="00C21ABA"/>
    <w:rsid w:val="00C2747D"/>
    <w:rsid w:val="00C352F6"/>
    <w:rsid w:val="00C44AB2"/>
    <w:rsid w:val="00C510B6"/>
    <w:rsid w:val="00C73FF8"/>
    <w:rsid w:val="00C81B0F"/>
    <w:rsid w:val="00C82138"/>
    <w:rsid w:val="00C82F81"/>
    <w:rsid w:val="00C92BCB"/>
    <w:rsid w:val="00C933F8"/>
    <w:rsid w:val="00C937B2"/>
    <w:rsid w:val="00CA3DA1"/>
    <w:rsid w:val="00CA53BE"/>
    <w:rsid w:val="00CA6CC7"/>
    <w:rsid w:val="00CB3178"/>
    <w:rsid w:val="00CB3FF7"/>
    <w:rsid w:val="00CB7BA8"/>
    <w:rsid w:val="00CC434B"/>
    <w:rsid w:val="00CD0D79"/>
    <w:rsid w:val="00CD3C62"/>
    <w:rsid w:val="00CD6DFF"/>
    <w:rsid w:val="00CE5B53"/>
    <w:rsid w:val="00CF0DBE"/>
    <w:rsid w:val="00CF41A4"/>
    <w:rsid w:val="00CF5650"/>
    <w:rsid w:val="00D10969"/>
    <w:rsid w:val="00D10A0A"/>
    <w:rsid w:val="00D16936"/>
    <w:rsid w:val="00D17067"/>
    <w:rsid w:val="00D233B2"/>
    <w:rsid w:val="00D36C84"/>
    <w:rsid w:val="00D41C8C"/>
    <w:rsid w:val="00D52573"/>
    <w:rsid w:val="00D61531"/>
    <w:rsid w:val="00D61DFA"/>
    <w:rsid w:val="00D700E4"/>
    <w:rsid w:val="00D9359F"/>
    <w:rsid w:val="00D942C5"/>
    <w:rsid w:val="00DA4708"/>
    <w:rsid w:val="00DA4A3F"/>
    <w:rsid w:val="00DB2EEF"/>
    <w:rsid w:val="00DB5333"/>
    <w:rsid w:val="00DC1A1E"/>
    <w:rsid w:val="00DD324E"/>
    <w:rsid w:val="00DD648D"/>
    <w:rsid w:val="00DD703C"/>
    <w:rsid w:val="00DE41E7"/>
    <w:rsid w:val="00DF0AD5"/>
    <w:rsid w:val="00DF3C1A"/>
    <w:rsid w:val="00DF540D"/>
    <w:rsid w:val="00DF5984"/>
    <w:rsid w:val="00E0118B"/>
    <w:rsid w:val="00E03D44"/>
    <w:rsid w:val="00E04C17"/>
    <w:rsid w:val="00E15379"/>
    <w:rsid w:val="00E166C4"/>
    <w:rsid w:val="00E23D5D"/>
    <w:rsid w:val="00E44D58"/>
    <w:rsid w:val="00E50B80"/>
    <w:rsid w:val="00E5602F"/>
    <w:rsid w:val="00E63021"/>
    <w:rsid w:val="00E758F0"/>
    <w:rsid w:val="00E94F01"/>
    <w:rsid w:val="00E96A57"/>
    <w:rsid w:val="00E97499"/>
    <w:rsid w:val="00EA3081"/>
    <w:rsid w:val="00EB20D3"/>
    <w:rsid w:val="00EB23D6"/>
    <w:rsid w:val="00EB3743"/>
    <w:rsid w:val="00EC3341"/>
    <w:rsid w:val="00EC5FD4"/>
    <w:rsid w:val="00EC6185"/>
    <w:rsid w:val="00EC6B92"/>
    <w:rsid w:val="00EC6D8F"/>
    <w:rsid w:val="00ED79B2"/>
    <w:rsid w:val="00ED7B8C"/>
    <w:rsid w:val="00EE7893"/>
    <w:rsid w:val="00EF6B24"/>
    <w:rsid w:val="00EF6B5A"/>
    <w:rsid w:val="00F0150F"/>
    <w:rsid w:val="00F12C35"/>
    <w:rsid w:val="00F253B2"/>
    <w:rsid w:val="00F31E84"/>
    <w:rsid w:val="00F35B7D"/>
    <w:rsid w:val="00F37181"/>
    <w:rsid w:val="00F414AA"/>
    <w:rsid w:val="00F5090A"/>
    <w:rsid w:val="00F51B12"/>
    <w:rsid w:val="00F521CA"/>
    <w:rsid w:val="00F56CF1"/>
    <w:rsid w:val="00F61FB4"/>
    <w:rsid w:val="00F70CDC"/>
    <w:rsid w:val="00F72036"/>
    <w:rsid w:val="00F864FE"/>
    <w:rsid w:val="00F8690E"/>
    <w:rsid w:val="00FA332C"/>
    <w:rsid w:val="00FA3FFC"/>
    <w:rsid w:val="00FA6885"/>
    <w:rsid w:val="00FA7839"/>
    <w:rsid w:val="00FB593E"/>
    <w:rsid w:val="00FB5CA0"/>
    <w:rsid w:val="00FC0C72"/>
    <w:rsid w:val="00FC3B5C"/>
    <w:rsid w:val="00FC576E"/>
    <w:rsid w:val="00FD0297"/>
    <w:rsid w:val="00FD490C"/>
    <w:rsid w:val="00FD52FD"/>
    <w:rsid w:val="00FE5971"/>
    <w:rsid w:val="14A5A5E0"/>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EB81"/>
  <w15:chartTrackingRefBased/>
  <w15:docId w15:val="{458A8CFF-E972-4435-83F5-FB2CFAA4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1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114501"/>
    <w:pPr>
      <w:autoSpaceDE w:val="0"/>
      <w:autoSpaceDN w:val="0"/>
      <w:adjustRightInd w:val="0"/>
      <w:spacing w:after="0" w:line="240" w:lineRule="auto"/>
    </w:pPr>
    <w:rPr>
      <w:rFonts w:ascii="EU Albertina" w:hAnsi="EU Albertina"/>
      <w:sz w:val="24"/>
      <w:szCs w:val="24"/>
    </w:rPr>
  </w:style>
  <w:style w:type="paragraph" w:customStyle="1" w:styleId="CM3">
    <w:name w:val="CM3"/>
    <w:basedOn w:val="Normal"/>
    <w:next w:val="Normal"/>
    <w:uiPriority w:val="99"/>
    <w:rsid w:val="00114501"/>
    <w:pPr>
      <w:autoSpaceDE w:val="0"/>
      <w:autoSpaceDN w:val="0"/>
      <w:adjustRightInd w:val="0"/>
      <w:spacing w:after="0" w:line="240" w:lineRule="auto"/>
    </w:pPr>
    <w:rPr>
      <w:rFonts w:ascii="EU Albertina" w:hAnsi="EU Albertina"/>
      <w:sz w:val="24"/>
      <w:szCs w:val="24"/>
    </w:rPr>
  </w:style>
  <w:style w:type="character" w:styleId="Hiperveza">
    <w:name w:val="Hyperlink"/>
    <w:basedOn w:val="Zadanifontodlomka"/>
    <w:uiPriority w:val="99"/>
    <w:unhideWhenUsed/>
    <w:rsid w:val="00114501"/>
    <w:rPr>
      <w:color w:val="0563C1" w:themeColor="hyperlink"/>
      <w:u w:val="single"/>
    </w:rPr>
  </w:style>
  <w:style w:type="character" w:styleId="Nerijeenospominjanje">
    <w:name w:val="Unresolved Mention"/>
    <w:basedOn w:val="Zadanifontodlomka"/>
    <w:uiPriority w:val="99"/>
    <w:semiHidden/>
    <w:unhideWhenUsed/>
    <w:rsid w:val="00114501"/>
    <w:rPr>
      <w:color w:val="605E5C"/>
      <w:shd w:val="clear" w:color="auto" w:fill="E1DFDD"/>
    </w:rPr>
  </w:style>
  <w:style w:type="paragraph" w:styleId="Odlomakpopisa">
    <w:name w:val="List Paragraph"/>
    <w:basedOn w:val="Normal"/>
    <w:uiPriority w:val="34"/>
    <w:qFormat/>
    <w:rsid w:val="00FE5971"/>
    <w:pPr>
      <w:ind w:left="720"/>
      <w:contextualSpacing/>
    </w:pPr>
  </w:style>
  <w:style w:type="paragraph" w:customStyle="1" w:styleId="CM4">
    <w:name w:val="CM4"/>
    <w:basedOn w:val="Normal"/>
    <w:next w:val="Normal"/>
    <w:uiPriority w:val="99"/>
    <w:rsid w:val="00E03D44"/>
    <w:pPr>
      <w:autoSpaceDE w:val="0"/>
      <w:autoSpaceDN w:val="0"/>
      <w:adjustRightInd w:val="0"/>
      <w:spacing w:after="0" w:line="240" w:lineRule="auto"/>
    </w:pPr>
    <w:rPr>
      <w:rFonts w:ascii="EU Albertina" w:hAnsi="EU Albertina"/>
      <w:sz w:val="24"/>
      <w:szCs w:val="24"/>
    </w:rPr>
  </w:style>
  <w:style w:type="paragraph" w:customStyle="1" w:styleId="Default">
    <w:name w:val="Default"/>
    <w:rsid w:val="00972FFB"/>
    <w:pPr>
      <w:autoSpaceDE w:val="0"/>
      <w:autoSpaceDN w:val="0"/>
      <w:adjustRightInd w:val="0"/>
      <w:spacing w:after="0" w:line="240" w:lineRule="auto"/>
    </w:pPr>
    <w:rPr>
      <w:rFonts w:ascii="EU Albertina" w:hAnsi="EU Albertina" w:cs="EU Albertina"/>
      <w:color w:val="000000"/>
      <w:sz w:val="24"/>
      <w:szCs w:val="24"/>
    </w:rPr>
  </w:style>
  <w:style w:type="character" w:styleId="Referencakomentara">
    <w:name w:val="annotation reference"/>
    <w:basedOn w:val="Zadanifontodlomka"/>
    <w:uiPriority w:val="99"/>
    <w:semiHidden/>
    <w:unhideWhenUsed/>
    <w:rsid w:val="00CA6CC7"/>
    <w:rPr>
      <w:sz w:val="16"/>
      <w:szCs w:val="16"/>
    </w:rPr>
  </w:style>
  <w:style w:type="paragraph" w:styleId="Tekstkomentara">
    <w:name w:val="annotation text"/>
    <w:basedOn w:val="Normal"/>
    <w:link w:val="TekstkomentaraChar"/>
    <w:uiPriority w:val="99"/>
    <w:unhideWhenUsed/>
    <w:rsid w:val="00CA6CC7"/>
    <w:pPr>
      <w:spacing w:line="240" w:lineRule="auto"/>
    </w:pPr>
    <w:rPr>
      <w:sz w:val="20"/>
      <w:szCs w:val="20"/>
    </w:rPr>
  </w:style>
  <w:style w:type="character" w:customStyle="1" w:styleId="TekstkomentaraChar">
    <w:name w:val="Tekst komentara Char"/>
    <w:basedOn w:val="Zadanifontodlomka"/>
    <w:link w:val="Tekstkomentara"/>
    <w:uiPriority w:val="99"/>
    <w:rsid w:val="00CA6CC7"/>
    <w:rPr>
      <w:sz w:val="20"/>
      <w:szCs w:val="20"/>
    </w:rPr>
  </w:style>
  <w:style w:type="paragraph" w:styleId="Predmetkomentara">
    <w:name w:val="annotation subject"/>
    <w:basedOn w:val="Tekstkomentara"/>
    <w:next w:val="Tekstkomentara"/>
    <w:link w:val="PredmetkomentaraChar"/>
    <w:uiPriority w:val="99"/>
    <w:semiHidden/>
    <w:unhideWhenUsed/>
    <w:rsid w:val="00CA6CC7"/>
    <w:rPr>
      <w:b/>
      <w:bCs/>
    </w:rPr>
  </w:style>
  <w:style w:type="character" w:customStyle="1" w:styleId="PredmetkomentaraChar">
    <w:name w:val="Predmet komentara Char"/>
    <w:basedOn w:val="TekstkomentaraChar"/>
    <w:link w:val="Predmetkomentara"/>
    <w:uiPriority w:val="99"/>
    <w:semiHidden/>
    <w:rsid w:val="00CA6CC7"/>
    <w:rPr>
      <w:b/>
      <w:bCs/>
      <w:sz w:val="20"/>
      <w:szCs w:val="20"/>
    </w:rPr>
  </w:style>
  <w:style w:type="paragraph" w:styleId="Revizija">
    <w:name w:val="Revision"/>
    <w:hidden/>
    <w:uiPriority w:val="99"/>
    <w:semiHidden/>
    <w:rsid w:val="0006373E"/>
    <w:pPr>
      <w:spacing w:after="0" w:line="240" w:lineRule="auto"/>
    </w:pPr>
  </w:style>
  <w:style w:type="character" w:styleId="SlijeenaHiperveza">
    <w:name w:val="FollowedHyperlink"/>
    <w:basedOn w:val="Zadanifontodlomka"/>
    <w:uiPriority w:val="99"/>
    <w:semiHidden/>
    <w:unhideWhenUsed/>
    <w:rsid w:val="00065871"/>
    <w:rPr>
      <w:color w:val="954F72" w:themeColor="followedHyperlink"/>
      <w:u w:val="single"/>
    </w:rPr>
  </w:style>
  <w:style w:type="paragraph" w:styleId="Tekstfusnote">
    <w:name w:val="footnote text"/>
    <w:basedOn w:val="Normal"/>
    <w:link w:val="TekstfusnoteChar"/>
    <w:uiPriority w:val="99"/>
    <w:semiHidden/>
    <w:unhideWhenUsed/>
    <w:rsid w:val="00F35B7D"/>
    <w:pPr>
      <w:spacing w:after="0" w:line="240" w:lineRule="auto"/>
    </w:pPr>
    <w:rPr>
      <w:sz w:val="20"/>
      <w:szCs w:val="20"/>
    </w:rPr>
  </w:style>
  <w:style w:type="character" w:customStyle="1" w:styleId="TekstfusnoteChar">
    <w:name w:val="Tekst fusnote Char"/>
    <w:basedOn w:val="Zadanifontodlomka"/>
    <w:link w:val="Tekstfusnote"/>
    <w:uiPriority w:val="99"/>
    <w:semiHidden/>
    <w:rsid w:val="00F35B7D"/>
    <w:rPr>
      <w:sz w:val="20"/>
      <w:szCs w:val="20"/>
    </w:rPr>
  </w:style>
  <w:style w:type="character" w:styleId="Referencafusnote">
    <w:name w:val="footnote reference"/>
    <w:basedOn w:val="Zadanifontodlomka"/>
    <w:uiPriority w:val="99"/>
    <w:semiHidden/>
    <w:unhideWhenUsed/>
    <w:rsid w:val="00F35B7D"/>
    <w:rPr>
      <w:vertAlign w:val="superscript"/>
    </w:rPr>
  </w:style>
  <w:style w:type="paragraph" w:styleId="Zaglavlje">
    <w:name w:val="header"/>
    <w:basedOn w:val="Normal"/>
    <w:link w:val="ZaglavljeChar"/>
    <w:uiPriority w:val="99"/>
    <w:unhideWhenUsed/>
    <w:rsid w:val="00F521C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521CA"/>
  </w:style>
  <w:style w:type="paragraph" w:styleId="Podnoje">
    <w:name w:val="footer"/>
    <w:basedOn w:val="Normal"/>
    <w:link w:val="PodnojeChar"/>
    <w:uiPriority w:val="99"/>
    <w:unhideWhenUsed/>
    <w:rsid w:val="00F521C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52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5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HR/TXT/HTML/?uri=OJ%3AC%3A2021%3A373%3AFUL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CELEX%3A52021XC0218%2801%2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72F8AC896724FBCF5F20C9FD05D21" ma:contentTypeVersion="16" ma:contentTypeDescription="Create a new document." ma:contentTypeScope="" ma:versionID="c2de82079bc6865f1ecdced5097bb41c">
  <xsd:schema xmlns:xsd="http://www.w3.org/2001/XMLSchema" xmlns:xs="http://www.w3.org/2001/XMLSchema" xmlns:p="http://schemas.microsoft.com/office/2006/metadata/properties" xmlns:ns2="cf130a50-404b-457a-b222-e256d01960cc" targetNamespace="http://schemas.microsoft.com/office/2006/metadata/properties" ma:root="true" ma:fieldsID="03c14315736b03f98637b5eabea28463" ns2:_="">
    <xsd:import namespace="cf130a50-404b-457a-b222-e256d01960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30a50-404b-457a-b222-e256d0196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89AF82-3291-49A1-B43E-E42D2E433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30a50-404b-457a-b222-e256d0196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3BF234-F906-45F5-9D05-A26D5DF0A3F3}">
  <ds:schemaRefs>
    <ds:schemaRef ds:uri="http://schemas.microsoft.com/sharepoint/v3/contenttype/forms"/>
  </ds:schemaRefs>
</ds:datastoreItem>
</file>

<file path=customXml/itemProps3.xml><?xml version="1.0" encoding="utf-8"?>
<ds:datastoreItem xmlns:ds="http://schemas.openxmlformats.org/officeDocument/2006/customXml" ds:itemID="{A50E7417-FE8F-4AFC-A0FF-F1310A9F6A64}">
  <ds:schemaRefs>
    <ds:schemaRef ds:uri="http://schemas.openxmlformats.org/officeDocument/2006/bibliography"/>
  </ds:schemaRefs>
</ds:datastoreItem>
</file>

<file path=customXml/itemProps4.xml><?xml version="1.0" encoding="utf-8"?>
<ds:datastoreItem xmlns:ds="http://schemas.openxmlformats.org/officeDocument/2006/customXml" ds:itemID="{9D25F27E-9B57-4A2A-A78D-A52AC5E20E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1093</Words>
  <Characters>6235</Characters>
  <Application>Microsoft Office Word</Application>
  <DocSecurity>0</DocSecurity>
  <Lines>51</Lines>
  <Paragraphs>14</Paragraphs>
  <ScaleCrop>false</ScaleCrop>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Grgat Branimir</dc:creator>
  <cp:keywords/>
  <dc:description/>
  <cp:lastModifiedBy>Mlinarec Natalija</cp:lastModifiedBy>
  <cp:revision>64</cp:revision>
  <dcterms:created xsi:type="dcterms:W3CDTF">2024-11-21T14:56:00Z</dcterms:created>
  <dcterms:modified xsi:type="dcterms:W3CDTF">2024-11-25T12:19:00Z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0x01010006172F8AC896724FBCF5F20C9FD05D21</vt:lpwstr>
  </property>
</Properties>
</file>